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2CB59" w14:textId="77777777" w:rsidR="00D17B12" w:rsidRDefault="007526ED">
      <w:pPr>
        <w:spacing w:line="240" w:lineRule="auto"/>
        <w:jc w:val="center"/>
        <w:rPr>
          <w:b/>
          <w:bCs/>
        </w:rPr>
      </w:pPr>
      <w:r>
        <w:rPr>
          <w:b/>
          <w:bCs/>
        </w:rPr>
        <w:t>REGLAMENTO DE LA LEY N.° 32309, LEY QUE CREA INCENTIVOS ECONÓMICOS Y FISCALES PARA EL FOMENTO DE LAS ACTIVIDADES CINEMATOGRÁFICA Y AUDIOVISUAL DEL PERÚ</w:t>
      </w:r>
    </w:p>
    <w:p w14:paraId="095FCB0F" w14:textId="77777777" w:rsidR="00D17B12" w:rsidRDefault="00D17B12">
      <w:pPr>
        <w:spacing w:line="240" w:lineRule="auto"/>
        <w:jc w:val="center"/>
        <w:rPr>
          <w:b/>
          <w:bCs/>
        </w:rPr>
      </w:pPr>
    </w:p>
    <w:p w14:paraId="3AFDBAFE" w14:textId="77777777" w:rsidR="00D17B12" w:rsidRDefault="007526ED">
      <w:pPr>
        <w:spacing w:line="240" w:lineRule="auto"/>
        <w:jc w:val="center"/>
        <w:rPr>
          <w:b/>
          <w:bCs/>
        </w:rPr>
      </w:pPr>
      <w:r>
        <w:rPr>
          <w:b/>
          <w:bCs/>
        </w:rPr>
        <w:t>EXPOSICIÓN DE MOTIVOS</w:t>
      </w:r>
    </w:p>
    <w:p w14:paraId="32FB731F" w14:textId="77777777" w:rsidR="00D17B12" w:rsidRDefault="007526ED">
      <w:pPr>
        <w:numPr>
          <w:ilvl w:val="0"/>
          <w:numId w:val="5"/>
        </w:numPr>
        <w:spacing w:before="240" w:line="240" w:lineRule="auto"/>
        <w:ind w:left="567" w:hanging="567"/>
        <w:jc w:val="both"/>
        <w:rPr>
          <w:b/>
          <w:bCs/>
        </w:rPr>
      </w:pPr>
      <w:r>
        <w:rPr>
          <w:b/>
          <w:bCs/>
        </w:rPr>
        <w:t>OBJETO</w:t>
      </w:r>
    </w:p>
    <w:p w14:paraId="737C45B9" w14:textId="77777777" w:rsidR="00D17B12" w:rsidRDefault="007526ED">
      <w:pPr>
        <w:spacing w:before="240" w:line="240" w:lineRule="auto"/>
        <w:jc w:val="both"/>
        <w:rPr>
          <w:highlight w:val="white"/>
        </w:rPr>
      </w:pPr>
      <w:r>
        <w:t>El presente reglamento tiene por o</w:t>
      </w:r>
      <w:r>
        <w:rPr>
          <w:highlight w:val="white"/>
        </w:rPr>
        <w:t>bjeto desarrollar la Ley N.° 32309, Ley que crea incentivos económicos y fiscales para el fomento de la actividad cinematográfica y audiovisual del Perú, estableciendo los procedimientos, requisitos, condiciones y criterios para la aplicación de los incentivos de la norma citada.</w:t>
      </w:r>
    </w:p>
    <w:p w14:paraId="018BC5C5" w14:textId="77777777" w:rsidR="00D17B12" w:rsidRDefault="007526ED">
      <w:pPr>
        <w:numPr>
          <w:ilvl w:val="0"/>
          <w:numId w:val="5"/>
        </w:numPr>
        <w:spacing w:before="240" w:line="240" w:lineRule="auto"/>
        <w:ind w:left="570" w:hanging="570"/>
        <w:jc w:val="both"/>
        <w:rPr>
          <w:b/>
          <w:bCs/>
          <w:highlight w:val="white"/>
        </w:rPr>
      </w:pPr>
      <w:r>
        <w:rPr>
          <w:b/>
          <w:bCs/>
          <w:highlight w:val="white"/>
        </w:rPr>
        <w:t xml:space="preserve">FINALIDAD </w:t>
      </w:r>
    </w:p>
    <w:p w14:paraId="6A2EB7E8" w14:textId="77777777" w:rsidR="00D17B12" w:rsidRDefault="007526ED">
      <w:pPr>
        <w:spacing w:before="240" w:line="240" w:lineRule="auto"/>
        <w:jc w:val="both"/>
        <w:rPr>
          <w:highlight w:val="white"/>
        </w:rPr>
      </w:pPr>
      <w:r>
        <w:rPr>
          <w:highlight w:val="white"/>
        </w:rPr>
        <w:t>La finalidad del presente reglamento es asegurar la transparencia y la predictibilidad en la implementación de los incentivos previstos en la Ley N.° 32309, Ley que crea incentivos económicos y fiscales para el fomento de las actividades cinematográfica y audiovisual del Perú, así como promover, mediante el otorgamiento de estímulos económicos, el desarrollo integral, sostenido e inclusivo de las actividades cinematográficas y audiovisuales del país.</w:t>
      </w:r>
    </w:p>
    <w:p w14:paraId="1D5238F8" w14:textId="77777777" w:rsidR="00D17B12" w:rsidRDefault="007526ED">
      <w:pPr>
        <w:numPr>
          <w:ilvl w:val="0"/>
          <w:numId w:val="5"/>
        </w:numPr>
        <w:spacing w:before="240" w:line="240" w:lineRule="auto"/>
        <w:ind w:left="567" w:hanging="567"/>
        <w:jc w:val="both"/>
        <w:rPr>
          <w:b/>
          <w:bCs/>
        </w:rPr>
      </w:pPr>
      <w:r>
        <w:rPr>
          <w:b/>
          <w:bCs/>
        </w:rPr>
        <w:t xml:space="preserve">ANTECEDENTES </w:t>
      </w:r>
    </w:p>
    <w:p w14:paraId="7660406E" w14:textId="77777777" w:rsidR="00D17B12" w:rsidRDefault="007526ED">
      <w:pPr>
        <w:spacing w:before="240" w:line="240" w:lineRule="auto"/>
        <w:jc w:val="both"/>
      </w:pPr>
      <w:r>
        <w:t xml:space="preserve">El 25 de abril de 2025, se publicó en el diario oficial </w:t>
      </w:r>
      <w:r>
        <w:rPr>
          <w:i/>
          <w:iCs/>
        </w:rPr>
        <w:t>El Peruano</w:t>
      </w:r>
      <w:r>
        <w:t xml:space="preserve"> la Ley N.° 32309, Ley que crea incentivos económicos y fiscales para el fomento de las actividades cinematográfica y audiovisual del Perú (en adelante, la </w:t>
      </w:r>
      <w:r>
        <w:rPr>
          <w:b/>
          <w:bCs/>
        </w:rPr>
        <w:t>Ley</w:t>
      </w:r>
      <w:r>
        <w:t>). Mediante su Única Disposición Complementaria Derogatoria, la Ley deroga el Decreto de Urgencia N.° 022-2019, Decreto de Urgencia que promueve la actividad cinematográfica y audiovisual, a partir de la entrada en vigor de la Ley.</w:t>
      </w:r>
    </w:p>
    <w:p w14:paraId="6594C0F5" w14:textId="77777777" w:rsidR="00D17B12" w:rsidRDefault="007526ED">
      <w:pPr>
        <w:spacing w:before="240" w:after="240" w:line="240" w:lineRule="auto"/>
        <w:jc w:val="both"/>
      </w:pPr>
      <w:r>
        <w:t xml:space="preserve">Asimismo, la Décima Disposición Complementaria Final establece que “la presente ley entra en vigor a partir del día siguiente de la aprobación de su reglamento, a excepción de los beneficios tributarios señalados en los artículos 16 y 18, cuya vigencia será de aplicación a partir del 1 de enero del año siguiente a la publicación de la presente norma”. </w:t>
      </w:r>
    </w:p>
    <w:p w14:paraId="16BB60BB" w14:textId="77777777" w:rsidR="00D17B12" w:rsidRDefault="007526ED">
      <w:pPr>
        <w:spacing w:before="240" w:after="240" w:line="240" w:lineRule="auto"/>
        <w:jc w:val="both"/>
        <w:rPr>
          <w:highlight w:val="white"/>
        </w:rPr>
      </w:pPr>
      <w:r>
        <w:t xml:space="preserve">Por su parte, la Novena Disposición Complementaria Final ordena que “el Poder Ejecutivo aprueba el reglamento de la presente ley, dentro de un plazo de treinta días hábiles </w:t>
      </w:r>
      <w:r>
        <w:rPr>
          <w:highlight w:val="white"/>
        </w:rPr>
        <w:t>contados a partir del día siguiente de su publicación”.</w:t>
      </w:r>
    </w:p>
    <w:p w14:paraId="2D7AA4BA" w14:textId="77777777" w:rsidR="00D17B12" w:rsidRDefault="007526ED">
      <w:pPr>
        <w:spacing w:before="240" w:after="240" w:line="240" w:lineRule="auto"/>
        <w:jc w:val="both"/>
        <w:rPr>
          <w:highlight w:val="white"/>
        </w:rPr>
      </w:pPr>
      <w:r>
        <w:rPr>
          <w:highlight w:val="white"/>
        </w:rPr>
        <w:t>En consecuencia, resulta indispensable y mandatorio aprobar el reglamento de la Ley, a fin de garantizar su entrada en vigor, así como la implementación plena de sus incentivos.</w:t>
      </w:r>
    </w:p>
    <w:p w14:paraId="550E2F4A" w14:textId="77777777" w:rsidR="00D17B12" w:rsidRDefault="007526ED">
      <w:pPr>
        <w:spacing w:before="240" w:after="240" w:line="240" w:lineRule="auto"/>
        <w:jc w:val="both"/>
        <w:rPr>
          <w:highlight w:val="white"/>
        </w:rPr>
      </w:pPr>
      <w:r>
        <w:rPr>
          <w:highlight w:val="white"/>
        </w:rPr>
        <w:t>El objeto de la Ley es establecer incentivos económicos y fiscales destinados a fomentar las actividades cinematográficas y audiovisuales en el territorio nacional, con el propósito de contribuir al desarrollo sostenible e inclusivo de las diversas expresiones culturales del país. Para tal efecto, la Ley prevé:</w:t>
      </w:r>
    </w:p>
    <w:p w14:paraId="1C38FACF" w14:textId="77777777" w:rsidR="00D17B12" w:rsidRDefault="007526ED">
      <w:pPr>
        <w:spacing w:before="240" w:after="240" w:line="240" w:lineRule="auto"/>
        <w:ind w:left="1275" w:hanging="566"/>
        <w:jc w:val="both"/>
      </w:pPr>
      <w:r>
        <w:t>i)</w:t>
      </w:r>
      <w:r>
        <w:tab/>
      </w:r>
      <w:r>
        <w:rPr>
          <w:i/>
          <w:iCs/>
        </w:rPr>
        <w:t>Incentivos económicos</w:t>
      </w:r>
      <w:r>
        <w:t>, así como otras acciones y mecanismos vinculados al fomento de la actividad cinematográfica y audiovisual en el país, cuya regulación y gestión corresponde al Ministerio de Cultura.</w:t>
      </w:r>
    </w:p>
    <w:p w14:paraId="50FA9145" w14:textId="77777777" w:rsidR="00D17B12" w:rsidRDefault="007526ED">
      <w:pPr>
        <w:spacing w:before="240" w:after="240" w:line="240" w:lineRule="auto"/>
        <w:ind w:left="1275" w:hanging="566"/>
        <w:jc w:val="both"/>
      </w:pPr>
      <w:r>
        <w:lastRenderedPageBreak/>
        <w:t>ii)</w:t>
      </w:r>
      <w:r>
        <w:tab/>
      </w:r>
      <w:r>
        <w:rPr>
          <w:i/>
          <w:iCs/>
        </w:rPr>
        <w:t>Incentivos fiscales</w:t>
      </w:r>
      <w:r>
        <w:t>, cuya implementación involucra al Ministerio de Economía y Finanzas (</w:t>
      </w:r>
      <w:r>
        <w:rPr>
          <w:b/>
          <w:bCs/>
        </w:rPr>
        <w:t>MEF</w:t>
      </w:r>
      <w:r>
        <w:t>) y a la Superintendencia Nacional de Aduanas y de Administración Tributaria (</w:t>
      </w:r>
      <w:r>
        <w:rPr>
          <w:b/>
          <w:bCs/>
        </w:rPr>
        <w:t>SUNAT</w:t>
      </w:r>
      <w:r>
        <w:t>), por ser de su competencia.</w:t>
      </w:r>
    </w:p>
    <w:p w14:paraId="37A3D524" w14:textId="77777777" w:rsidR="00D17B12" w:rsidRDefault="007526ED">
      <w:pPr>
        <w:spacing w:before="240" w:after="240" w:line="240" w:lineRule="auto"/>
        <w:jc w:val="both"/>
        <w:rPr>
          <w:highlight w:val="white"/>
        </w:rPr>
      </w:pPr>
      <w:r>
        <w:t>En ese sentido, el presente reglamento desarrolla lo dispuesto por la Ley en materia de incentivos económicos y demás aspectos vinculados a las competencias d</w:t>
      </w:r>
      <w:r>
        <w:rPr>
          <w:highlight w:val="white"/>
        </w:rPr>
        <w:t>el Ministerio de Cultura, en lo que corresponde a las actividades cinematográficas y audiovisuales. Por su parte, los incentivos de carácter fiscal para esas mismas actividades se regulan en su propio reglamento, en concordancia con el ordenamiento jurídico vigente, así como con la normativa tributaria aplicable.</w:t>
      </w:r>
    </w:p>
    <w:p w14:paraId="23348E16" w14:textId="77777777" w:rsidR="00D17B12" w:rsidRDefault="007526ED">
      <w:pPr>
        <w:spacing w:before="240" w:after="240" w:line="240" w:lineRule="auto"/>
        <w:jc w:val="both"/>
        <w:rPr>
          <w:highlight w:val="white"/>
        </w:rPr>
      </w:pPr>
      <w:r>
        <w:rPr>
          <w:highlight w:val="white"/>
        </w:rPr>
        <w:t>El reglamento, en ese marco, complementa la Ley</w:t>
      </w:r>
      <w:r>
        <w:rPr>
          <w:b/>
          <w:bCs/>
          <w:highlight w:val="white"/>
        </w:rPr>
        <w:t xml:space="preserve"> </w:t>
      </w:r>
      <w:r>
        <w:rPr>
          <w:highlight w:val="white"/>
        </w:rPr>
        <w:t>y regula las disposiciones generales sobre el fomento de las actividades cinematográficas y audiovisuales en el Perú; el Registro Nacional de la Cinematografía y el Audiovisual (</w:t>
      </w:r>
      <w:r>
        <w:rPr>
          <w:b/>
          <w:bCs/>
          <w:highlight w:val="white"/>
        </w:rPr>
        <w:t>RENCA</w:t>
      </w:r>
      <w:r>
        <w:rPr>
          <w:highlight w:val="white"/>
        </w:rPr>
        <w:t>); el diseño y ejecución del Plan de Fomento de las Actividades Cinematográficas y Audiovisuales, incluyendo mecanismos de participación ciudadana; el régimen de estímulos económicos concursables y no concursables, con sus criterios de evaluación, composición de jurados evaluadores, proceso de postulación y declaración de beneficiarios, así como los mecanismos de supervisión de las obligaciones de los beneficiarios; actividades de fomento no económico, como la formación y la promoción nacional e internacional; la preservación y conservación del material cinematográfico y audiovisual; la exhibición comercial, exhibición alternativa y estreno de obras cinematográficas y audiovisuales en el país; el régimen de apoyos económicos a través de donaciones destinadas al sector; y las funciones de fiscalización y sanción del procedimiento administrativo sancionador, orientado a la supervisión de las obligaciones de los beneficiarios y al uso de los recursos otorgados bajo responsabilidad del Ministerio de Cultura. Asimismo, se incluyen disposiciones complementarias, transitorias y derogatorias necesarias para su adecuada implementación.</w:t>
      </w:r>
    </w:p>
    <w:p w14:paraId="323BAAD3" w14:textId="77777777" w:rsidR="00D17B12" w:rsidRDefault="007526ED">
      <w:pPr>
        <w:spacing w:before="240" w:after="240" w:line="240" w:lineRule="auto"/>
        <w:jc w:val="both"/>
      </w:pPr>
      <w:r>
        <w:t>Finalmente, e</w:t>
      </w:r>
      <w:r>
        <w:rPr>
          <w:highlight w:val="white"/>
        </w:rPr>
        <w:t>l presente reglamento constituye un instrumento normativo destinado a desarrollar la Ley N.° 32309, con respecto a las competencias del Ministerio de Cultura, a fin de otorgar seguridad jurídica y transparencia en la aplicación de los incentivos económicos que establece la Ley.</w:t>
      </w:r>
    </w:p>
    <w:p w14:paraId="36152969" w14:textId="77777777" w:rsidR="00D17B12" w:rsidRDefault="007526ED">
      <w:pPr>
        <w:numPr>
          <w:ilvl w:val="0"/>
          <w:numId w:val="5"/>
        </w:numPr>
        <w:spacing w:before="240" w:line="240" w:lineRule="auto"/>
        <w:ind w:left="567" w:hanging="567"/>
        <w:jc w:val="both"/>
        <w:rPr>
          <w:b/>
          <w:bCs/>
        </w:rPr>
      </w:pPr>
      <w:r>
        <w:rPr>
          <w:b/>
          <w:bCs/>
        </w:rPr>
        <w:t>MARCO JURÍDICO Y LAS HABILITACIONES EN CUYO EJERCICIO SE APRUEBA EL PROYECTO NORMATIVO</w:t>
      </w:r>
    </w:p>
    <w:p w14:paraId="64E262EE" w14:textId="77777777" w:rsidR="00D17B12" w:rsidRDefault="007526ED">
      <w:pPr>
        <w:spacing w:before="240" w:line="240" w:lineRule="auto"/>
        <w:ind w:left="567" w:hanging="567"/>
        <w:jc w:val="both"/>
        <w:rPr>
          <w:b/>
          <w:bCs/>
        </w:rPr>
      </w:pPr>
      <w:r>
        <w:rPr>
          <w:b/>
          <w:bCs/>
        </w:rPr>
        <w:t xml:space="preserve">4.1.  </w:t>
      </w:r>
      <w:r>
        <w:rPr>
          <w:b/>
          <w:bCs/>
        </w:rPr>
        <w:tab/>
        <w:t>Sobre la potestad reglamentaria del Poder Ejecutivo</w:t>
      </w:r>
    </w:p>
    <w:p w14:paraId="5BFA30BB" w14:textId="77777777" w:rsidR="00D17B12" w:rsidRDefault="007526ED">
      <w:pPr>
        <w:spacing w:before="240" w:line="240" w:lineRule="auto"/>
        <w:jc w:val="both"/>
      </w:pPr>
      <w:r>
        <w:t xml:space="preserve">El artículo 118 numeral 8 de la Constitución Política del Perú reconoce al presidente de la República la atribución de </w:t>
      </w:r>
      <w:r>
        <w:rPr>
          <w:color w:val="151515"/>
          <w:highlight w:val="white"/>
        </w:rPr>
        <w:t>ejercer la potestad de reglamentar las leyes sin transgredirlas ni desnaturalizarlas; y, dentro de tales límites, dictar decretos y resoluciones</w:t>
      </w:r>
      <w:r>
        <w:rPr>
          <w:color w:val="151515"/>
          <w:highlight w:val="white"/>
          <w:vertAlign w:val="superscript"/>
        </w:rPr>
        <w:footnoteReference w:id="1"/>
      </w:r>
      <w:r>
        <w:t>.</w:t>
      </w:r>
    </w:p>
    <w:p w14:paraId="282C61D5" w14:textId="77777777" w:rsidR="00D17B12" w:rsidRDefault="007526ED">
      <w:pPr>
        <w:spacing w:before="240" w:line="240" w:lineRule="auto"/>
        <w:jc w:val="both"/>
      </w:pPr>
      <w:r>
        <w:t xml:space="preserve">Por su parte, el artículo 6 de la Ley N.° 29158, Ley Orgánica del Poder Ejecutivo, establece como una </w:t>
      </w:r>
      <w:r>
        <w:rPr>
          <w:highlight w:val="white"/>
        </w:rPr>
        <w:t>de las funciones del Poder Ejecutivo la de reglamentar las leyes, evaluar su aplicación y supervisar su cumplimiento</w:t>
      </w:r>
      <w:r>
        <w:rPr>
          <w:highlight w:val="white"/>
          <w:vertAlign w:val="superscript"/>
        </w:rPr>
        <w:footnoteReference w:id="2"/>
      </w:r>
      <w:r>
        <w:rPr>
          <w:highlight w:val="white"/>
        </w:rPr>
        <w:t xml:space="preserve">. De manera concordante, el numeral </w:t>
      </w:r>
      <w:r>
        <w:rPr>
          <w:highlight w:val="white"/>
        </w:rPr>
        <w:lastRenderedPageBreak/>
        <w:t>3 del artículo 11 de la citada Ley Orgánica establece que corresponde al presidente de la República dictar decretos supremos, entendidos como normas de carácter general que reglamentan normas con rango de ley o regulan la actividad secto</w:t>
      </w:r>
      <w:r>
        <w:t>rial funcional o multisectorial funcional a nivel nacional</w:t>
      </w:r>
      <w:r>
        <w:rPr>
          <w:vertAlign w:val="superscript"/>
        </w:rPr>
        <w:footnoteReference w:id="3"/>
      </w:r>
      <w:r>
        <w:t>.</w:t>
      </w:r>
    </w:p>
    <w:p w14:paraId="49B1F16F" w14:textId="77777777" w:rsidR="00D17B12" w:rsidRDefault="007526ED">
      <w:pPr>
        <w:spacing w:before="240" w:line="240" w:lineRule="auto"/>
        <w:jc w:val="both"/>
      </w:pPr>
      <w:r>
        <w:t>Al respecto, DANÓS</w:t>
      </w:r>
      <w:r>
        <w:rPr>
          <w:vertAlign w:val="superscript"/>
        </w:rPr>
        <w:footnoteReference w:id="4"/>
      </w:r>
      <w:r>
        <w:t xml:space="preserve"> menciona que "por mandato constitucional el presidente de la República es titular de la potestad reglamentaria, pero no puede ejercerla individualmente, porque existen otros preceptos en la Constitución que disponen que requiere el acuerdo con sus ministros, individualmente considerados o en consejo de ministros (....)". </w:t>
      </w:r>
    </w:p>
    <w:p w14:paraId="4A880CFC" w14:textId="77777777" w:rsidR="00D17B12" w:rsidRDefault="007526ED">
      <w:pPr>
        <w:spacing w:before="240" w:line="240" w:lineRule="auto"/>
        <w:jc w:val="both"/>
      </w:pPr>
      <w:r>
        <w:t xml:space="preserve">En esa línea, la Ley establece principalmente disposiciones orientadas al fomento de la actividad cinematográfica y audiovisual, ámbito que forma parte de las competencias del Ministerio de Cultura a través de la Dirección del Audiovisual, la Fonografía y los Nuevos Medios (en adelante, </w:t>
      </w:r>
      <w:r>
        <w:rPr>
          <w:b/>
          <w:bCs/>
        </w:rPr>
        <w:t>DAFO</w:t>
      </w:r>
      <w:r>
        <w:t xml:space="preserve">) de la Dirección General de Industrias Culturales y las Artes (en adelante, </w:t>
      </w:r>
      <w:r>
        <w:rPr>
          <w:b/>
          <w:bCs/>
        </w:rPr>
        <w:t>DGIA</w:t>
      </w:r>
      <w:r>
        <w:t>), como se desarrollará en el apartado 4.3. de esta exposición de motivos. En consecuencia, corresponde al Ministerio de Cultura asumir la responsabilidad de proponer la reglamentación relativa a los incentivos económicos, conforme a lo dispuesto en su Ley de creación.</w:t>
      </w:r>
    </w:p>
    <w:p w14:paraId="6066FB55" w14:textId="77777777" w:rsidR="00D17B12" w:rsidRDefault="007526ED">
      <w:pPr>
        <w:spacing w:before="240" w:line="240" w:lineRule="auto"/>
        <w:ind w:left="567" w:hanging="567"/>
        <w:jc w:val="both"/>
        <w:rPr>
          <w:b/>
          <w:bCs/>
        </w:rPr>
      </w:pPr>
      <w:r>
        <w:rPr>
          <w:b/>
          <w:bCs/>
        </w:rPr>
        <w:t xml:space="preserve">4.2. </w:t>
      </w:r>
      <w:r>
        <w:rPr>
          <w:b/>
          <w:bCs/>
        </w:rPr>
        <w:tab/>
        <w:t>Mandato específico de reglamentación contenido en la Ley N.° 32309</w:t>
      </w:r>
    </w:p>
    <w:p w14:paraId="69C4D946" w14:textId="77777777" w:rsidR="00D17B12" w:rsidRDefault="007526ED">
      <w:pPr>
        <w:spacing w:before="240" w:line="240" w:lineRule="auto"/>
        <w:jc w:val="both"/>
      </w:pPr>
      <w:r>
        <w:t>La Novena Disposición Complementaria Final, citada en los antecedentes, habilita legalmente y obliga al Ministerio de Cultura a elaborar y elevar el proyecto de reglamento. Ello con el propósito de asegurar que los incentivos previstos en la Ley entren en vigencia.</w:t>
      </w:r>
    </w:p>
    <w:p w14:paraId="3FD033C3" w14:textId="77777777" w:rsidR="00D17B12" w:rsidRDefault="007526ED">
      <w:pPr>
        <w:spacing w:before="240" w:line="240" w:lineRule="auto"/>
        <w:ind w:left="567" w:hanging="567"/>
        <w:jc w:val="both"/>
        <w:rPr>
          <w:b/>
          <w:bCs/>
        </w:rPr>
      </w:pPr>
      <w:r>
        <w:rPr>
          <w:b/>
          <w:bCs/>
        </w:rPr>
        <w:t xml:space="preserve">4.3.  </w:t>
      </w:r>
      <w:r>
        <w:rPr>
          <w:b/>
          <w:bCs/>
        </w:rPr>
        <w:tab/>
        <w:t>Competencia sectorial del Ministerio de Cultura</w:t>
      </w:r>
    </w:p>
    <w:p w14:paraId="315E97CF" w14:textId="77777777" w:rsidR="00D17B12" w:rsidRDefault="007526ED">
      <w:pPr>
        <w:spacing w:before="240" w:line="240" w:lineRule="auto"/>
        <w:jc w:val="both"/>
      </w:pPr>
      <w:r>
        <w:t xml:space="preserve">El artículo 3 de la Ley N.° 29565, Ley de Creación del Ministerio de Cultura, establece que el sector cultura comprende todas las manifestaciones culturales del país que expresan su diversidad pluricultural y multiétnica. En dicho artículo se dispone, además, que el sector cultura está conformado no solo por el Ministerio de Cultura y las entidades bajo su ámbito, sino también por otras organizaciones, así como por las personas naturales o jurídicas que desarrollan actividades vinculadas al ámbito cultural. </w:t>
      </w:r>
    </w:p>
    <w:p w14:paraId="14F29D1E" w14:textId="77777777" w:rsidR="00D17B12" w:rsidRDefault="007526ED">
      <w:pPr>
        <w:spacing w:before="240" w:line="240" w:lineRule="auto"/>
        <w:jc w:val="both"/>
      </w:pPr>
      <w:r>
        <w:t xml:space="preserve">A su vez, el artículo 4 de la citada norma precisa que las áreas programáticas de acción sobre las cuales el Ministerio de Cultura ejerce sus competencias, funciones y atribuciones incluyen, entre otras, la </w:t>
      </w:r>
      <w:r>
        <w:rPr>
          <w:b/>
          <w:bCs/>
        </w:rPr>
        <w:t>gestión cultural y las industrias culturales</w:t>
      </w:r>
      <w:r>
        <w:t>, en el marco de los objetivos y metas del Estado</w:t>
      </w:r>
      <w:r>
        <w:rPr>
          <w:vertAlign w:val="superscript"/>
        </w:rPr>
        <w:footnoteReference w:id="5"/>
      </w:r>
      <w:r>
        <w:t>.</w:t>
      </w:r>
    </w:p>
    <w:p w14:paraId="3A82553A" w14:textId="77777777" w:rsidR="00D17B12" w:rsidRDefault="007526ED">
      <w:pPr>
        <w:spacing w:before="240" w:line="240" w:lineRule="auto"/>
        <w:jc w:val="both"/>
        <w:rPr>
          <w:highlight w:val="yellow"/>
        </w:rPr>
      </w:pPr>
      <w:r>
        <w:lastRenderedPageBreak/>
        <w:t>En concordancia con este marco, la Organización de las Naciones Unidas para la Educación, la Ciencia y la Cultura (</w:t>
      </w:r>
      <w:r>
        <w:rPr>
          <w:b/>
          <w:bCs/>
        </w:rPr>
        <w:t>UNESCO</w:t>
      </w:r>
      <w:r>
        <w:t>) define a las industrias culturales como “todas aquellas que producen y distribuyen bienes o servicios culturales”</w:t>
      </w:r>
      <w:r>
        <w:rPr>
          <w:vertAlign w:val="superscript"/>
        </w:rPr>
        <w:footnoteReference w:id="6"/>
      </w:r>
      <w:r>
        <w:t xml:space="preserve"> y que, “considerados desde el punto de vista de su calidad, utilización o finalidad específicas, encarnan o transmiten expresiones culturales, independientemente del valor comercial que puedan tener”</w:t>
      </w:r>
      <w:r>
        <w:rPr>
          <w:vertAlign w:val="superscript"/>
        </w:rPr>
        <w:footnoteReference w:id="7"/>
      </w:r>
      <w:r>
        <w:t>.</w:t>
      </w:r>
    </w:p>
    <w:p w14:paraId="350C56EE" w14:textId="77777777" w:rsidR="00D17B12" w:rsidRDefault="007526ED">
      <w:pPr>
        <w:spacing w:before="240" w:line="240" w:lineRule="auto"/>
        <w:jc w:val="both"/>
        <w:rPr>
          <w:highlight w:val="white"/>
        </w:rPr>
      </w:pPr>
      <w:r>
        <w:rPr>
          <w:highlight w:val="white"/>
        </w:rPr>
        <w:t xml:space="preserve">En ese sentido, la DAFO </w:t>
      </w:r>
      <w:r>
        <w:t>constituye una unidad orgánica de la DGIA, conforme a lo dispuesto</w:t>
      </w:r>
      <w:r>
        <w:rPr>
          <w:highlight w:val="white"/>
        </w:rPr>
        <w:t xml:space="preserve"> en el artículo 79 del Reglamento de Organización y Funciones del Ministerio de Cultura, aprobado por Decreto Supremo N.° 005-2013-MC (en adelante, el </w:t>
      </w:r>
      <w:r>
        <w:rPr>
          <w:b/>
          <w:bCs/>
          <w:highlight w:val="white"/>
        </w:rPr>
        <w:t>ROF</w:t>
      </w:r>
      <w:r>
        <w:rPr>
          <w:highlight w:val="white"/>
        </w:rPr>
        <w:t xml:space="preserve">). </w:t>
      </w:r>
    </w:p>
    <w:p w14:paraId="356FBF87" w14:textId="77777777" w:rsidR="00D17B12" w:rsidRDefault="007526ED">
      <w:pPr>
        <w:spacing w:before="240" w:line="240" w:lineRule="auto"/>
        <w:jc w:val="both"/>
      </w:pPr>
      <w:r>
        <w:rPr>
          <w:highlight w:val="white"/>
        </w:rPr>
        <w:t>De acuerdo con el citado ROF, la DGIA es el ór</w:t>
      </w:r>
      <w:r>
        <w:t xml:space="preserve">gano encargado de formular, coordinar, ejecutar y supervisar las políticas, estrategias y acciones orientadas a estimular la creación artística y fomentar la actividad artística en los más diversos campos, así como promover la productividad y competitividad de las industrias que están directamente vinculadas con la creación artística. </w:t>
      </w:r>
    </w:p>
    <w:p w14:paraId="1B137A6F" w14:textId="77777777" w:rsidR="00D17B12" w:rsidRDefault="007526ED">
      <w:pPr>
        <w:spacing w:before="240" w:line="240" w:lineRule="auto"/>
        <w:jc w:val="both"/>
      </w:pPr>
      <w:r>
        <w:t>Por su parte, la DAFO es la unidad orgánica encargada de diseñar, proponer, promover y ejecutar las políticas, planes, estrategias y normas para el desarrollo y promoción de la industria audiovisual, fonográfica y de los nuevos medios. Según el numeral 1 del artículo 80 del ROF, le corresponde la función de elaborar y proponer a la DGIA las políticas, planes, estrategias y normas para el desarrollo y promoción de la industria audiovisual, fonográfica y de nuevos medios aplicados a la producción cultural.</w:t>
      </w:r>
    </w:p>
    <w:p w14:paraId="554CA660" w14:textId="77777777" w:rsidR="00D17B12" w:rsidRDefault="007526ED">
      <w:pPr>
        <w:spacing w:before="240" w:line="240" w:lineRule="auto"/>
        <w:jc w:val="both"/>
      </w:pPr>
      <w:r>
        <w:t>Las actividades cinematográficas y audiovisuales forman parte integrante de las industrias culturales, las cuales se encuentran dentro del ámbito de competencia del Ministerio de Cultura. En virtud de su condición de ente rector del sector cultural y de las industrias creativas, resulta plenamente justificada la facultad del Ministerio de Cultura para dictar normas y reglamentos orientados a regular, promover y fortalecer dichas actividades, en el marco de sus competencias otorgadas por ley.</w:t>
      </w:r>
    </w:p>
    <w:p w14:paraId="78979799" w14:textId="77777777" w:rsidR="00D17B12" w:rsidRDefault="007526ED">
      <w:pPr>
        <w:spacing w:before="240" w:line="240" w:lineRule="auto"/>
        <w:jc w:val="both"/>
        <w:rPr>
          <w:highlight w:val="white"/>
        </w:rPr>
      </w:pPr>
      <w:r>
        <w:rPr>
          <w:highlight w:val="white"/>
        </w:rPr>
        <w:t>En efecto, adicionalmente a lo expuesto, el artículo 5 de la Ley N.° 29565 otorga al Ministerio de Cultura la condición de organismo rector en materia cultural, y en su literal i) le confiere competencia exclusiva para promover la creación cultural en todos sus campos, fortalecer las capacidades de los creadores y gestores culturales, y fomentar el desarrollo de las industrias culturales</w:t>
      </w:r>
      <w:r>
        <w:rPr>
          <w:vertAlign w:val="superscript"/>
        </w:rPr>
        <w:footnoteReference w:id="8"/>
      </w:r>
      <w:r>
        <w:rPr>
          <w:highlight w:val="white"/>
        </w:rPr>
        <w:t>. En complemento, el literal o) del artículo 7 de la misma norma establece que es función exclusiva del Ministerio de Cultura presentar anteproyectos de normas ante el presidente de la República y el Consejo de ministros sobre las materias comprendidas en su ámbito de competencia,</w:t>
      </w:r>
      <w:r>
        <w:rPr>
          <w:vertAlign w:val="superscript"/>
        </w:rPr>
        <w:footnoteReference w:id="9"/>
      </w:r>
      <w:r>
        <w:rPr>
          <w:highlight w:val="white"/>
        </w:rPr>
        <w:t xml:space="preserve"> lo que incluye el desarrollo normativo del presente reglamento.</w:t>
      </w:r>
    </w:p>
    <w:p w14:paraId="6A9FC9E8" w14:textId="77777777" w:rsidR="00D17B12" w:rsidRDefault="007526ED">
      <w:pPr>
        <w:spacing w:before="240" w:line="240" w:lineRule="auto"/>
        <w:jc w:val="both"/>
        <w:rPr>
          <w:highlight w:val="white"/>
        </w:rPr>
      </w:pPr>
      <w:r>
        <w:lastRenderedPageBreak/>
        <w:t>En consecuencia, y considerando que el presente reglamento tiene por finalidad precisar los procedimientos, requisitos, condiciones y criterios aplicables al régimen de incentivos destinado a promover la creación cinematográfica y audiovisual, corresponde al Ministerio de Cultura, a propuesta de la DAFO de la DGIA, elaborar la propuesta de reglamento de la Ley N.° 32309, en el marco de sus competencias. Ello se sustenta además en lo dispuesto por el numeral 62.1 del artículo 62 de la Ley N.° 27444, Ley del Procedimiento Administrativo General (en adelante, la</w:t>
      </w:r>
      <w:r>
        <w:rPr>
          <w:b/>
          <w:bCs/>
        </w:rPr>
        <w:t xml:space="preserve"> LPAG</w:t>
      </w:r>
      <w:r>
        <w:t>), el cual establece que, cuando una norma atribuye una competencia a una entidad sin especificar el órgano encargado de ejercerla, esta corresponde al órgano de menor jerarquía cuya función esté más directamente vinculada con la materia</w:t>
      </w:r>
      <w:r>
        <w:rPr>
          <w:vertAlign w:val="superscript"/>
        </w:rPr>
        <w:footnoteReference w:id="10"/>
      </w:r>
      <w:r>
        <w:t>. En consecuencia, la DAFO, como unidad orgánica de la DGIA del Ministerio de Cultura, es el órgano competente para presentar la propuesta del reglamento de la Ley N.° 32309, en el marco de sus atribuciones técnicas y sectoriales.</w:t>
      </w:r>
    </w:p>
    <w:p w14:paraId="0F11B6E8" w14:textId="77777777" w:rsidR="00D17B12" w:rsidRDefault="007526ED">
      <w:pPr>
        <w:spacing w:before="240" w:line="240" w:lineRule="auto"/>
        <w:ind w:left="567" w:hanging="567"/>
        <w:jc w:val="both"/>
        <w:rPr>
          <w:b/>
          <w:bCs/>
        </w:rPr>
      </w:pPr>
      <w:r>
        <w:rPr>
          <w:b/>
          <w:bCs/>
        </w:rPr>
        <w:t>V.</w:t>
      </w:r>
      <w:r>
        <w:rPr>
          <w:b/>
          <w:bCs/>
        </w:rPr>
        <w:tab/>
        <w:t xml:space="preserve">FUNDAMENTO TÉCNICO DEL PROYECTO NORMATIVO </w:t>
      </w:r>
    </w:p>
    <w:p w14:paraId="35A28BCB" w14:textId="77777777" w:rsidR="00D17B12" w:rsidRDefault="007526ED">
      <w:pPr>
        <w:numPr>
          <w:ilvl w:val="1"/>
          <w:numId w:val="16"/>
        </w:numPr>
        <w:spacing w:before="240" w:line="240" w:lineRule="auto"/>
        <w:ind w:left="567" w:hanging="567"/>
        <w:jc w:val="both"/>
        <w:rPr>
          <w:b/>
          <w:bCs/>
        </w:rPr>
      </w:pPr>
      <w:r>
        <w:rPr>
          <w:b/>
          <w:bCs/>
        </w:rPr>
        <w:t>Identificación del problema público</w:t>
      </w:r>
    </w:p>
    <w:p w14:paraId="37D9B659" w14:textId="77777777" w:rsidR="00D17B12" w:rsidRDefault="007526ED">
      <w:pPr>
        <w:pBdr>
          <w:top w:val="nil"/>
          <w:left w:val="nil"/>
          <w:bottom w:val="nil"/>
          <w:right w:val="nil"/>
          <w:between w:val="nil"/>
        </w:pBdr>
        <w:spacing w:before="240" w:line="240" w:lineRule="auto"/>
        <w:jc w:val="both"/>
      </w:pPr>
      <w:r>
        <w:t xml:space="preserve">La Política Nacional de Cultura al 2030 (en adelante, </w:t>
      </w:r>
      <w:r>
        <w:rPr>
          <w:b/>
          <w:bCs/>
        </w:rPr>
        <w:t>PNC</w:t>
      </w:r>
      <w:r>
        <w:t>)</w:t>
      </w:r>
      <w:r>
        <w:rPr>
          <w:vertAlign w:val="superscript"/>
        </w:rPr>
        <w:footnoteReference w:id="11"/>
      </w:r>
      <w:r>
        <w:t xml:space="preserve"> delimita como problema público para el que es indispensable la intervención integral del Estado, el </w:t>
      </w:r>
      <w:r>
        <w:rPr>
          <w:b/>
          <w:bCs/>
        </w:rPr>
        <w:t>“limitado ejercicio de los derechos culturales de la población”</w:t>
      </w:r>
      <w:r>
        <w:t xml:space="preserve">. </w:t>
      </w:r>
    </w:p>
    <w:p w14:paraId="363558BD" w14:textId="77777777" w:rsidR="00D17B12" w:rsidRDefault="007526ED">
      <w:pPr>
        <w:spacing w:before="240" w:after="240" w:line="240" w:lineRule="auto"/>
        <w:jc w:val="both"/>
      </w:pPr>
      <w:r>
        <w:t>De acuerdo con lo establecido en la PNC, las políticas nacionales responden a la identificación de problemas o necesidades priorizadas en la agenda pública. En ese sentido, los ministerios, en el marco de sus competencias, diseñan, establecen, ejecutan y supervisan políticas nacionales y sectoriales bajo su rectoría, de aplicación obligatoria en todos los niveles de gobierno</w:t>
      </w:r>
      <w:r>
        <w:rPr>
          <w:vertAlign w:val="superscript"/>
        </w:rPr>
        <w:footnoteReference w:id="12"/>
      </w:r>
      <w:r>
        <w:t>. Así, la PNC, diseñada y propuesta por el Ministerio de Cultura, constituye el instrumento rector estratégico que orienta la acción estatal para garantizar el ejercicio pleno y equitativo de los derechos culturales de la ciudadanía.</w:t>
      </w:r>
    </w:p>
    <w:p w14:paraId="379A0D6C" w14:textId="77777777" w:rsidR="00D17B12" w:rsidRDefault="007526ED">
      <w:pPr>
        <w:spacing w:before="240" w:after="240" w:line="240" w:lineRule="auto"/>
        <w:jc w:val="both"/>
      </w:pPr>
      <w:r>
        <w:t xml:space="preserve">El ejercicio de los derechos culturales en el Perú es limitado. A fin de poder aterrizar el problema público general en el específico referido al sector cinematográfico y audiovisual, es necesario establecer a qué nos referimos por “derechos culturales” y cuáles son esas limitaciones.  </w:t>
      </w:r>
    </w:p>
    <w:p w14:paraId="2C01BC01" w14:textId="77777777" w:rsidR="00D17B12" w:rsidRDefault="007526ED">
      <w:pPr>
        <w:pBdr>
          <w:top w:val="nil"/>
          <w:left w:val="nil"/>
          <w:bottom w:val="nil"/>
          <w:right w:val="nil"/>
          <w:between w:val="nil"/>
        </w:pBdr>
        <w:spacing w:before="240" w:line="240" w:lineRule="auto"/>
        <w:jc w:val="both"/>
      </w:pPr>
      <w:r>
        <w:t>La PNC adopta la definición de la Organización de las Naciones Unidas (ONU) sobre los derechos culturales, según la cual</w:t>
      </w:r>
      <w:r>
        <w:rPr>
          <w:b/>
          <w:bCs/>
        </w:rPr>
        <w:t xml:space="preserve"> toda persona tiene el derecho a participar libremente en la vida cultural de su comunidad; esto es, acceder, participar y contribuir en la vida cultural de su elección</w:t>
      </w:r>
      <w:r>
        <w:rPr>
          <w:b/>
          <w:bCs/>
          <w:vertAlign w:val="superscript"/>
        </w:rPr>
        <w:footnoteReference w:id="13"/>
      </w:r>
      <w:r>
        <w:t xml:space="preserve">. </w:t>
      </w:r>
    </w:p>
    <w:p w14:paraId="59964F0C" w14:textId="77777777" w:rsidR="00D17B12" w:rsidRDefault="007526ED">
      <w:pPr>
        <w:pBdr>
          <w:top w:val="nil"/>
          <w:left w:val="nil"/>
          <w:bottom w:val="nil"/>
          <w:right w:val="nil"/>
          <w:between w:val="nil"/>
        </w:pBdr>
        <w:spacing w:before="240" w:line="240" w:lineRule="auto"/>
        <w:jc w:val="both"/>
      </w:pPr>
      <w:r>
        <w:lastRenderedPageBreak/>
        <w:t>El derecho a participar en la vida cultural y a disfrutar de las artes se encuentra reconocido en instrumentos internacionales de derechos humanos, específicamente en el artículo 27 de la Declaración Universal de Derechos Humanos (1948)</w:t>
      </w:r>
      <w:r>
        <w:rPr>
          <w:vertAlign w:val="superscript"/>
        </w:rPr>
        <w:footnoteReference w:id="14"/>
      </w:r>
      <w:r>
        <w:t xml:space="preserve"> y en el artículo 15 del Pacto Internacional de Derechos Económicos, Sociales y Culturales (1966)</w:t>
      </w:r>
      <w:r>
        <w:rPr>
          <w:vertAlign w:val="superscript"/>
        </w:rPr>
        <w:footnoteReference w:id="15"/>
      </w:r>
      <w:r>
        <w:t xml:space="preserve">. </w:t>
      </w:r>
    </w:p>
    <w:p w14:paraId="766373A5" w14:textId="77777777" w:rsidR="00D17B12" w:rsidRDefault="007526ED">
      <w:pPr>
        <w:pBdr>
          <w:top w:val="nil"/>
          <w:left w:val="nil"/>
          <w:bottom w:val="nil"/>
          <w:right w:val="nil"/>
          <w:between w:val="nil"/>
        </w:pBdr>
        <w:spacing w:before="240" w:line="240" w:lineRule="auto"/>
        <w:jc w:val="both"/>
      </w:pPr>
      <w:r>
        <w:t>Estos derechos han sido incorporados en el ordenamiento jurídico peruano a través de la Constitución Política del Perú (1993), que en su artículo 2, numeral 8, garantiza la libertad de creación intelectual, artística, técnica y científica, así como la propiedad sobre dichas creaciones y su producto, estableciendo además que el Estado propicia el acceso a la cultura y fomenta su desarrollo y difusión. Asimismo, los numerales 17 y 19 del mismo artículo reconocen el derecho de toda persona a participar, de forma individual o asociada, en la vida política, económica y cultural de la Nación, así como el derecho a la identidad étnica y cultural, disponiendo que el Estado reconoce y protege la pluralidad étnica y cultural del país.</w:t>
      </w:r>
    </w:p>
    <w:p w14:paraId="60587D8C" w14:textId="77777777" w:rsidR="00D17B12" w:rsidRDefault="007526ED">
      <w:pPr>
        <w:pBdr>
          <w:top w:val="nil"/>
          <w:left w:val="nil"/>
          <w:bottom w:val="nil"/>
          <w:right w:val="nil"/>
          <w:between w:val="nil"/>
        </w:pBdr>
        <w:spacing w:before="240" w:line="240" w:lineRule="auto"/>
        <w:jc w:val="both"/>
      </w:pPr>
      <w:r>
        <w:t>En ese marco, la PNC identifica los derechos culturales en tres ámbitos:</w:t>
      </w:r>
    </w:p>
    <w:p w14:paraId="3DD54065" w14:textId="77777777" w:rsidR="00D17B12" w:rsidRDefault="007526ED">
      <w:pPr>
        <w:pBdr>
          <w:top w:val="nil"/>
          <w:left w:val="nil"/>
          <w:bottom w:val="nil"/>
          <w:right w:val="nil"/>
          <w:between w:val="nil"/>
        </w:pBdr>
        <w:spacing w:before="240" w:line="240" w:lineRule="auto"/>
        <w:ind w:left="1133" w:hanging="353"/>
        <w:jc w:val="both"/>
      </w:pPr>
      <w:r>
        <w:t xml:space="preserve">i) </w:t>
      </w:r>
      <w:r>
        <w:tab/>
      </w:r>
      <w:r>
        <w:rPr>
          <w:i/>
          <w:iCs/>
        </w:rPr>
        <w:t>Acceso a la vida cultural</w:t>
      </w:r>
      <w:r>
        <w:t xml:space="preserve">: Abarca los derechos que permiten acceder por cualquier medio a nuestra cultura y la de otros en sus diversos modos de expresión. </w:t>
      </w:r>
    </w:p>
    <w:p w14:paraId="3914490B" w14:textId="77777777" w:rsidR="00D17B12" w:rsidRDefault="007526ED">
      <w:pPr>
        <w:pBdr>
          <w:top w:val="nil"/>
          <w:left w:val="nil"/>
          <w:bottom w:val="nil"/>
          <w:right w:val="nil"/>
          <w:between w:val="nil"/>
        </w:pBdr>
        <w:spacing w:before="240" w:line="240" w:lineRule="auto"/>
        <w:ind w:left="1133" w:hanging="353"/>
        <w:jc w:val="both"/>
      </w:pPr>
      <w:r>
        <w:t xml:space="preserve">ii) </w:t>
      </w:r>
      <w:r>
        <w:tab/>
      </w:r>
      <w:r>
        <w:rPr>
          <w:i/>
          <w:iCs/>
        </w:rPr>
        <w:t>Participación en la vida cultural</w:t>
      </w:r>
      <w:r>
        <w:t>: Abarca los derechos que permiten la libre elección y ejercicio de la identidad cultural en sus diversos modos de expresión, así como participar, por medios democráticos, en la vida política en sociedad y en la toma de decisiones de su cultura.</w:t>
      </w:r>
    </w:p>
    <w:p w14:paraId="5A43097B" w14:textId="77777777" w:rsidR="00D17B12" w:rsidRDefault="007526ED">
      <w:pPr>
        <w:pBdr>
          <w:top w:val="nil"/>
          <w:left w:val="nil"/>
          <w:bottom w:val="nil"/>
          <w:right w:val="nil"/>
          <w:between w:val="nil"/>
        </w:pBdr>
        <w:spacing w:before="240" w:line="240" w:lineRule="auto"/>
        <w:ind w:left="1133" w:hanging="353"/>
        <w:jc w:val="both"/>
      </w:pPr>
      <w:r>
        <w:t xml:space="preserve">iii) </w:t>
      </w:r>
      <w:r>
        <w:tab/>
      </w:r>
      <w:r>
        <w:rPr>
          <w:i/>
          <w:iCs/>
        </w:rPr>
        <w:t>Contribución a la vida cultural</w:t>
      </w:r>
      <w:r>
        <w:t>: Implica los derechos que permiten la creación de manifestaciones culturales, así como la contribución en el desarrollo de las políticas culturales.</w:t>
      </w:r>
    </w:p>
    <w:p w14:paraId="58CF8F65" w14:textId="77777777" w:rsidR="00D17B12" w:rsidRDefault="007526ED">
      <w:pPr>
        <w:pBdr>
          <w:top w:val="nil"/>
          <w:left w:val="nil"/>
          <w:bottom w:val="nil"/>
          <w:right w:val="nil"/>
          <w:between w:val="nil"/>
        </w:pBdr>
        <w:spacing w:before="240" w:line="240" w:lineRule="auto"/>
        <w:jc w:val="both"/>
      </w:pPr>
      <w:r>
        <w:t>El limitado ejercicio de los derechos culturales en el Perú responde a tres causas centrales, según la PNC: la escasa valoración positiva de la diversidad cultural</w:t>
      </w:r>
      <w:r>
        <w:rPr>
          <w:vertAlign w:val="superscript"/>
        </w:rPr>
        <w:footnoteReference w:id="16"/>
      </w:r>
      <w:r>
        <w:t>; la limitada participación cultural en las expresiones artísticas y culturales</w:t>
      </w:r>
      <w:r>
        <w:rPr>
          <w:vertAlign w:val="superscript"/>
        </w:rPr>
        <w:footnoteReference w:id="17"/>
      </w:r>
      <w:r>
        <w:t>; y, el limitado aprovechamiento sostenible del patrimonio cultural</w:t>
      </w:r>
      <w:r>
        <w:rPr>
          <w:vertAlign w:val="superscript"/>
        </w:rPr>
        <w:footnoteReference w:id="18"/>
      </w:r>
      <w:r>
        <w:t xml:space="preserve">. </w:t>
      </w:r>
    </w:p>
    <w:p w14:paraId="2DBCFC1F" w14:textId="77777777" w:rsidR="00D17B12" w:rsidRDefault="007526ED">
      <w:pPr>
        <w:pBdr>
          <w:top w:val="nil"/>
          <w:left w:val="nil"/>
          <w:bottom w:val="nil"/>
          <w:right w:val="nil"/>
          <w:between w:val="nil"/>
        </w:pBdr>
        <w:spacing w:before="240" w:line="240" w:lineRule="auto"/>
        <w:jc w:val="both"/>
      </w:pPr>
      <w:r>
        <w:t>La PNC identificó que el problema público con respecto a las expresiones artísticas y culturales, que incluyen al sector cinematográfico y audiovisual, tiene las siguientes causas directas</w:t>
      </w:r>
      <w:r>
        <w:rPr>
          <w:vertAlign w:val="superscript"/>
        </w:rPr>
        <w:footnoteReference w:id="19"/>
      </w:r>
      <w:r>
        <w:t>:</w:t>
      </w:r>
    </w:p>
    <w:p w14:paraId="4620F05A" w14:textId="77777777" w:rsidR="00D17B12" w:rsidRDefault="007526ED">
      <w:pPr>
        <w:pBdr>
          <w:top w:val="nil"/>
          <w:left w:val="nil"/>
          <w:bottom w:val="nil"/>
          <w:right w:val="nil"/>
          <w:between w:val="nil"/>
        </w:pBdr>
        <w:spacing w:before="240" w:line="240" w:lineRule="auto"/>
        <w:ind w:left="1133" w:hanging="353"/>
        <w:jc w:val="both"/>
      </w:pPr>
      <w:r>
        <w:lastRenderedPageBreak/>
        <w:t xml:space="preserve">(i) </w:t>
      </w:r>
      <w:r>
        <w:tab/>
      </w:r>
      <w:r>
        <w:rPr>
          <w:u w:val="single"/>
        </w:rPr>
        <w:t>Barreras de acceso</w:t>
      </w:r>
      <w:r>
        <w:t>: Las</w:t>
      </w:r>
      <w:r>
        <w:rPr>
          <w:b/>
          <w:bCs/>
        </w:rPr>
        <w:t xml:space="preserve"> limitadas condiciones, oportunidad y capacidades para la participación cultural</w:t>
      </w:r>
      <w:r>
        <w:t xml:space="preserve"> de la población en las expresiones artísticas; y,</w:t>
      </w:r>
    </w:p>
    <w:p w14:paraId="78B18449" w14:textId="77777777" w:rsidR="00D17B12" w:rsidRDefault="007526ED">
      <w:pPr>
        <w:pBdr>
          <w:top w:val="nil"/>
          <w:left w:val="nil"/>
          <w:bottom w:val="nil"/>
          <w:right w:val="nil"/>
          <w:between w:val="nil"/>
        </w:pBdr>
        <w:spacing w:before="240" w:line="240" w:lineRule="auto"/>
        <w:ind w:left="1133" w:hanging="353"/>
        <w:jc w:val="both"/>
      </w:pPr>
      <w:r>
        <w:t xml:space="preserve">(ii) </w:t>
      </w:r>
      <w:r>
        <w:rPr>
          <w:u w:val="single"/>
        </w:rPr>
        <w:t>Barreras para la creación</w:t>
      </w:r>
      <w:r>
        <w:t xml:space="preserve">: El </w:t>
      </w:r>
      <w:r>
        <w:rPr>
          <w:b/>
          <w:bCs/>
        </w:rPr>
        <w:t>débil ecosistema creativo</w:t>
      </w:r>
      <w:r>
        <w:t xml:space="preserve"> para la creación, producción y distribución sostenible y diversa de las artes e industrias culturales</w:t>
      </w:r>
      <w:r>
        <w:rPr>
          <w:vertAlign w:val="superscript"/>
        </w:rPr>
        <w:footnoteReference w:id="20"/>
      </w:r>
      <w:r>
        <w:t>.</w:t>
      </w:r>
    </w:p>
    <w:p w14:paraId="4D2CCB52" w14:textId="77777777" w:rsidR="00D17B12" w:rsidRDefault="007526ED">
      <w:pPr>
        <w:pBdr>
          <w:top w:val="nil"/>
          <w:left w:val="nil"/>
          <w:bottom w:val="nil"/>
          <w:right w:val="nil"/>
          <w:between w:val="nil"/>
        </w:pBdr>
        <w:spacing w:before="240" w:line="240" w:lineRule="auto"/>
        <w:jc w:val="both"/>
        <w:rPr>
          <w:highlight w:val="white"/>
        </w:rPr>
      </w:pPr>
      <w:r>
        <w:rPr>
          <w:highlight w:val="white"/>
        </w:rPr>
        <w:t>Con respecto a la primera causa, la PNC indica que “el acceso y participación de la población en bienes y servicios culturales revela desigualdades en la oportunidad, y la ausencia de condiciones, tales como la gestión de infraestructura cultural”</w:t>
      </w:r>
      <w:r>
        <w:rPr>
          <w:highlight w:val="white"/>
          <w:vertAlign w:val="superscript"/>
        </w:rPr>
        <w:footnoteReference w:id="21"/>
      </w:r>
      <w:r>
        <w:rPr>
          <w:highlight w:val="white"/>
        </w:rPr>
        <w:t>. No todas las personas tienen las mismas oportunidades de disfrutar de actividades, bienes o servicios culturales (como asistir a salas de cine, museos, bibliotecas, espectáculos, entre otros). Factores como la ubicación geográfica, la falta de infraestructura, los costos económicos, las barreras tecnológicas o la ausencia de políticas inclusivas restringen que ciertos grupos puedan ejercer estos derechos</w:t>
      </w:r>
      <w:r>
        <w:rPr>
          <w:highlight w:val="white"/>
          <w:vertAlign w:val="superscript"/>
        </w:rPr>
        <w:footnoteReference w:id="22"/>
      </w:r>
      <w:r>
        <w:rPr>
          <w:highlight w:val="white"/>
        </w:rPr>
        <w:t>.</w:t>
      </w:r>
    </w:p>
    <w:p w14:paraId="4A80EAB8" w14:textId="77777777" w:rsidR="00D17B12" w:rsidRDefault="007526ED">
      <w:pPr>
        <w:pBdr>
          <w:top w:val="nil"/>
          <w:left w:val="nil"/>
          <w:bottom w:val="nil"/>
          <w:right w:val="nil"/>
          <w:between w:val="nil"/>
        </w:pBdr>
        <w:spacing w:before="240" w:line="240" w:lineRule="auto"/>
        <w:jc w:val="both"/>
        <w:rPr>
          <w:highlight w:val="white"/>
        </w:rPr>
      </w:pPr>
      <w:r>
        <w:rPr>
          <w:highlight w:val="white"/>
        </w:rPr>
        <w:t>Asimismo, la cultura no solo se consume, también se vive y se crea. Sin embargo, muchos ciudadanos encuentran trabas para involucrarse activamente en procesos culturales, ya sea por falta de información, por ausencia de espacios de expresión o porque sus prácticas culturales no son reconocidas ni valoradas. Esto afecta especialmente a poblaciones indígenas, afrodescendientes, comunidades rurales, personas con discapacidad, niños y jóvenes.</w:t>
      </w:r>
    </w:p>
    <w:p w14:paraId="4EB97E31" w14:textId="77777777" w:rsidR="00D17B12" w:rsidRDefault="007526ED">
      <w:pPr>
        <w:pBdr>
          <w:top w:val="nil"/>
          <w:left w:val="nil"/>
          <w:bottom w:val="nil"/>
          <w:right w:val="nil"/>
          <w:between w:val="nil"/>
        </w:pBdr>
        <w:spacing w:before="240" w:line="240" w:lineRule="auto"/>
        <w:jc w:val="both"/>
        <w:rPr>
          <w:highlight w:val="white"/>
        </w:rPr>
      </w:pPr>
      <w:r>
        <w:rPr>
          <w:highlight w:val="white"/>
        </w:rPr>
        <w:t>Además, la posibilidad de que las personas contribuyan a la vida cultural del país también es limitada. Muchas veces, las expresiones culturales de grupos minoritarios o locales no encuentran apoyo ni visibilidad, mientras que otras, más consolidadas o centralizadas, reciben mayor respaldo. Al no garantizarse una participación equitativa, se pierde parte de la riqueza cultural del país.</w:t>
      </w:r>
    </w:p>
    <w:p w14:paraId="3D2B067A" w14:textId="77777777" w:rsidR="00D17B12" w:rsidRDefault="007526ED">
      <w:pPr>
        <w:spacing w:before="240" w:line="240" w:lineRule="auto"/>
        <w:jc w:val="both"/>
        <w:rPr>
          <w:highlight w:val="white"/>
        </w:rPr>
      </w:pPr>
      <w:r>
        <w:rPr>
          <w:highlight w:val="white"/>
        </w:rPr>
        <w:t>La cultura es mucho más que la suma de los productos artísticos y culturales; es un proceso y una forma de vida que impregna todas las esferas de la experiencia humana.</w:t>
      </w:r>
      <w:r>
        <w:rPr>
          <w:highlight w:val="white"/>
          <w:vertAlign w:val="superscript"/>
        </w:rPr>
        <w:footnoteReference w:id="23"/>
      </w:r>
      <w:r>
        <w:rPr>
          <w:highlight w:val="white"/>
        </w:rPr>
        <w:t xml:space="preserve"> La cultura encarna la forma en que las personas dan sentido a sus vidas y cómo entienden su entorno humano, natural y artificial, tanto a título individual como colectivo.</w:t>
      </w:r>
      <w:r>
        <w:rPr>
          <w:highlight w:val="white"/>
          <w:vertAlign w:val="superscript"/>
        </w:rPr>
        <w:footnoteReference w:id="24"/>
      </w:r>
      <w:r>
        <w:rPr>
          <w:highlight w:val="white"/>
        </w:rPr>
        <w:t xml:space="preserve"> De este modo, la cultura es un factor fundamental para impulsar el progreso hacia la consecución de los Objetivos de Desarrollo Sostenible (</w:t>
      </w:r>
      <w:r>
        <w:rPr>
          <w:b/>
          <w:bCs/>
          <w:highlight w:val="white"/>
        </w:rPr>
        <w:t>ODS</w:t>
      </w:r>
      <w:r>
        <w:rPr>
          <w:highlight w:val="white"/>
        </w:rPr>
        <w:t>)</w:t>
      </w:r>
      <w:r>
        <w:rPr>
          <w:highlight w:val="white"/>
          <w:vertAlign w:val="superscript"/>
        </w:rPr>
        <w:footnoteReference w:id="25"/>
      </w:r>
      <w:r>
        <w:rPr>
          <w:highlight w:val="white"/>
        </w:rPr>
        <w:t>, ya que los derechos culturales abarcan tanto los derechos individuales como los colectivos que son indispensables para la dignidad humana y el desarrollo social</w:t>
      </w:r>
      <w:r>
        <w:rPr>
          <w:highlight w:val="white"/>
          <w:vertAlign w:val="superscript"/>
        </w:rPr>
        <w:footnoteReference w:id="26"/>
      </w:r>
      <w:r>
        <w:rPr>
          <w:highlight w:val="white"/>
        </w:rPr>
        <w:t>.</w:t>
      </w:r>
    </w:p>
    <w:p w14:paraId="36A446A5" w14:textId="77777777" w:rsidR="00D17B12" w:rsidRDefault="007526ED">
      <w:pPr>
        <w:pBdr>
          <w:top w:val="nil"/>
          <w:left w:val="nil"/>
          <w:bottom w:val="nil"/>
          <w:right w:val="nil"/>
          <w:between w:val="nil"/>
        </w:pBdr>
        <w:spacing w:before="240" w:line="240" w:lineRule="auto"/>
        <w:jc w:val="both"/>
        <w:rPr>
          <w:highlight w:val="white"/>
        </w:rPr>
      </w:pPr>
      <w:r>
        <w:rPr>
          <w:highlight w:val="white"/>
        </w:rPr>
        <w:lastRenderedPageBreak/>
        <w:t>Por otro lado, con relación a la causa referida al débil ecosistema creativo para la creación, producción, así como distribución sostenible y diversa de las artes e industrias culturales, la PNC identificó las siguientes falencias</w:t>
      </w:r>
      <w:r>
        <w:rPr>
          <w:highlight w:val="white"/>
          <w:vertAlign w:val="superscript"/>
        </w:rPr>
        <w:footnoteReference w:id="27"/>
      </w:r>
      <w:r>
        <w:rPr>
          <w:highlight w:val="white"/>
        </w:rPr>
        <w:t>:</w:t>
      </w:r>
    </w:p>
    <w:p w14:paraId="5736F6FD" w14:textId="77777777" w:rsidR="00D17B12" w:rsidRDefault="007526ED">
      <w:pPr>
        <w:pBdr>
          <w:top w:val="nil"/>
          <w:left w:val="nil"/>
          <w:bottom w:val="nil"/>
          <w:right w:val="nil"/>
          <w:between w:val="nil"/>
        </w:pBdr>
        <w:spacing w:before="240" w:line="240" w:lineRule="auto"/>
        <w:ind w:left="1204" w:hanging="425"/>
        <w:jc w:val="both"/>
      </w:pPr>
      <w:r>
        <w:t xml:space="preserve">(i) </w:t>
      </w:r>
      <w:r>
        <w:tab/>
        <w:t xml:space="preserve">Falta de incentivos para la creación cultural; </w:t>
      </w:r>
    </w:p>
    <w:p w14:paraId="72AE39F3" w14:textId="77777777" w:rsidR="00D17B12" w:rsidRDefault="007526ED">
      <w:pPr>
        <w:pBdr>
          <w:top w:val="nil"/>
          <w:left w:val="nil"/>
          <w:bottom w:val="nil"/>
          <w:right w:val="nil"/>
          <w:between w:val="nil"/>
        </w:pBdr>
        <w:spacing w:before="240" w:line="240" w:lineRule="auto"/>
        <w:ind w:left="1204" w:hanging="425"/>
        <w:jc w:val="both"/>
      </w:pPr>
      <w:r>
        <w:t xml:space="preserve">(ii) </w:t>
      </w:r>
      <w:r>
        <w:tab/>
        <w:t xml:space="preserve">Poco aprovechamiento de las potencialidades de las industrias culturales y reducida oferta cultural teniendo en consideración las barreras del mercado; y </w:t>
      </w:r>
    </w:p>
    <w:p w14:paraId="20F20AA7" w14:textId="77777777" w:rsidR="00D17B12" w:rsidRDefault="007526ED">
      <w:pPr>
        <w:pBdr>
          <w:top w:val="nil"/>
          <w:left w:val="nil"/>
          <w:bottom w:val="nil"/>
          <w:right w:val="nil"/>
          <w:between w:val="nil"/>
        </w:pBdr>
        <w:spacing w:before="240" w:line="240" w:lineRule="auto"/>
        <w:ind w:left="1204" w:hanging="425"/>
        <w:jc w:val="both"/>
      </w:pPr>
      <w:r>
        <w:t>(iii)  Ausencia de una política de proyección e internacionalización de la cultura.</w:t>
      </w:r>
    </w:p>
    <w:p w14:paraId="008F6763" w14:textId="77777777" w:rsidR="00D17B12" w:rsidRDefault="007526ED">
      <w:pPr>
        <w:spacing w:before="240" w:after="240" w:line="240" w:lineRule="auto"/>
        <w:jc w:val="both"/>
      </w:pPr>
      <w:r>
        <w:t xml:space="preserve">Con el propósito de ampliar las oportunidades de la ciudadanía para la creación, el acceso, la participación y el disfrute de las industrias culturales, la PNC establece un conjunto de objetivos prioritarios y lineamientos orientados al fortalecimiento del ecosistema cultural. Entre ellos, se incluye el lineamiento referido al </w:t>
      </w:r>
      <w:r>
        <w:rPr>
          <w:highlight w:val="white"/>
        </w:rPr>
        <w:t>“otorgamiento de subsidios económicos a agentes culturales, negocios y proyectos culturales”</w:t>
      </w:r>
      <w:r>
        <w:rPr>
          <w:highlight w:val="white"/>
          <w:vertAlign w:val="superscript"/>
        </w:rPr>
        <w:footnoteReference w:id="28"/>
      </w:r>
      <w:r>
        <w:t>, concebido como una intervención estratégica para estimular la producción creativa y el desarrollo de capacidades en el sector cultural.</w:t>
      </w:r>
    </w:p>
    <w:p w14:paraId="187DF5B8" w14:textId="77777777" w:rsidR="00D17B12" w:rsidRDefault="007526ED">
      <w:pPr>
        <w:spacing w:before="240" w:after="240" w:line="240" w:lineRule="auto"/>
        <w:jc w:val="both"/>
      </w:pPr>
      <w:r>
        <w:t xml:space="preserve">En respuesta a estas orientaciones, la PNC destaca que la aprobación del Decreto de Urgencia N.° 022-2019, Decreto de Urgencia que promueve la actividad cinematográfica y audiovisual en el país (en adelante, </w:t>
      </w:r>
      <w:r>
        <w:rPr>
          <w:b/>
          <w:bCs/>
        </w:rPr>
        <w:t>DU 022-2019</w:t>
      </w:r>
      <w:r>
        <w:t>), constituye, junto con otras disposiciones normativas, un avance significativo para el fortalecimiento de la creación cultural y la consolidación del sector cinematográfico y audiovisual.</w:t>
      </w:r>
    </w:p>
    <w:p w14:paraId="33484287" w14:textId="77777777" w:rsidR="00D17B12" w:rsidRDefault="007526ED">
      <w:pPr>
        <w:spacing w:before="240" w:after="240" w:line="240" w:lineRule="auto"/>
        <w:jc w:val="both"/>
      </w:pPr>
      <w:r>
        <w:t>El DU 022-2019 establece en su artículo 9 que el Ministerio de Cultura está autorizado a otorgar estímulos económicos a personas naturales de nacionalidad peruana y a personas jurídicas de derecho privado debidamente constituidas en el país que participen en la actividad cinematográfica y audiovisual. Asimismo, dicho artículo dispone que los estímulos se financian con cargo al presupuesto institucional del Ministerio de Cultura, asignando para ello un mínimo de seis mil unidades impositivas tributarias (6,000 UIT), sin requerir recursos adicionales del Tesoro Público</w:t>
      </w:r>
      <w:r>
        <w:rPr>
          <w:highlight w:val="white"/>
          <w:vertAlign w:val="superscript"/>
        </w:rPr>
        <w:footnoteReference w:id="29"/>
      </w:r>
      <w:r>
        <w:t>.</w:t>
      </w:r>
    </w:p>
    <w:p w14:paraId="762CFA3C" w14:textId="77777777" w:rsidR="00D17B12" w:rsidRDefault="007526ED">
      <w:pPr>
        <w:spacing w:before="240" w:after="240" w:line="240" w:lineRule="auto"/>
        <w:jc w:val="both"/>
        <w:rPr>
          <w:highlight w:val="white"/>
        </w:rPr>
      </w:pPr>
      <w:r>
        <w:t>De este modo, la política de estímulos económicos para la actividad cinematográfica y audiovisual constituye la materialización concreta del lineamiento 3.2 de la PNC, orientado al fortalecimiento del ecosistema creativo y al impulso sostenible de la producción cinematográfica nacional.</w:t>
      </w:r>
    </w:p>
    <w:p w14:paraId="3688D967" w14:textId="77777777" w:rsidR="00D17B12" w:rsidRDefault="007526ED">
      <w:pPr>
        <w:spacing w:before="240" w:line="240" w:lineRule="auto"/>
        <w:jc w:val="both"/>
      </w:pPr>
      <w:r>
        <w:rPr>
          <w:highlight w:val="white"/>
        </w:rPr>
        <w:t>Los estímulos económicos vinculados al sector cinematográfico y audiovisual</w:t>
      </w:r>
      <w:r>
        <w:t xml:space="preserve"> bajo la rectoría del Ministerio de Cultura se implementan como política pública desde el año 2012</w:t>
      </w:r>
      <w:r>
        <w:rPr>
          <w:vertAlign w:val="superscript"/>
        </w:rPr>
        <w:footnoteReference w:id="30"/>
      </w:r>
      <w:r>
        <w:t xml:space="preserve">. Sin embargo, a lo largo del tiempo, este mecanismo ha experimentado una </w:t>
      </w:r>
      <w:r>
        <w:lastRenderedPageBreak/>
        <w:t>notable evolución. En primer lugar, se ha ampliado el espectro de actividades susceptibles de fomento: durante el periodo 2012-2017, los estímulos económicos se orientaban exclusivamente al financiamiento de la actividad cinematográfica, a la producción de largometrajes y cortometrajes, mientras que desde 2018 se extienden también a la actividad audiovisual y comprende el financiamiento a proyectos de promoción intencionalidad, distribución comercial y alternativa, coproducción, entre otros. En segundo lugar, se ha simplificado el marco jurídico que los regula; antes de la entrada en vigencia del DU 022-2019, coexistían múltiples normas: la Ley N.° 26370 y su modificatoria, disposiciones complementarias de las leyes de presupuesto de 2018, 2019 y 2020, así como sus respectivos reglamentos, lo que afectaba la predictibilidad del fomento, y se agravaba con la vigencia limitada de las normas de presupuesto. Además, a lo largo de los años se han optimizado los procesos de convocatoria mediante un marco legal más claro, predecible y preciso. Entre otros avances significativos se incluyen la posibilidad de que personas naturales y jurídicas realicen donaciones a proyectos cinematográficos y audiovisuales, el fomento de coproducciones y la incorporación de videojuegos, series, entre otros medios audiovisuales a las políticas de estímulo. Asimismo, el presupuesto destinado al fomento de estas actividades ha mostrado un crecimiento sostenido a lo largo del tiempo, como se aprecia en el siguiente cuadro:</w:t>
      </w:r>
    </w:p>
    <w:p w14:paraId="3B09218E" w14:textId="77777777" w:rsidR="00D17B12" w:rsidRDefault="007526ED">
      <w:pPr>
        <w:pBdr>
          <w:top w:val="nil"/>
          <w:left w:val="nil"/>
          <w:bottom w:val="nil"/>
          <w:right w:val="nil"/>
          <w:between w:val="nil"/>
        </w:pBdr>
        <w:spacing w:before="240" w:line="240" w:lineRule="auto"/>
        <w:jc w:val="center"/>
        <w:rPr>
          <w:rFonts w:ascii="Calibri" w:eastAsia="Calibri" w:hAnsi="Calibri" w:cs="Calibri"/>
          <w:b/>
          <w:bCs/>
          <w:sz w:val="24"/>
          <w:szCs w:val="24"/>
          <w:highlight w:val="cyan"/>
        </w:rPr>
      </w:pPr>
      <w:r>
        <w:rPr>
          <w:b/>
          <w:bCs/>
        </w:rPr>
        <w:t>Cuadro 1. Presupuesto total asignado a los EEC dirigidos a la actividad cinematográfica y audiovisual (2012-2024)</w:t>
      </w:r>
    </w:p>
    <w:p w14:paraId="685915F5" w14:textId="77777777" w:rsidR="00D17B12" w:rsidRDefault="00D17B12">
      <w:pPr>
        <w:spacing w:line="240" w:lineRule="auto"/>
        <w:rPr>
          <w:rFonts w:ascii="Calibri" w:eastAsia="Calibri" w:hAnsi="Calibri" w:cs="Calibri"/>
          <w:sz w:val="24"/>
          <w:szCs w:val="24"/>
          <w:highlight w:val="cyan"/>
        </w:rPr>
      </w:pPr>
    </w:p>
    <w:tbl>
      <w:tblPr>
        <w:tblStyle w:val="a"/>
        <w:tblpPr w:leftFromText="180" w:rightFromText="180" w:topFromText="180" w:bottomFromText="180" w:vertAnchor="text" w:tblpX="-30"/>
        <w:tblW w:w="9028" w:type="dxa"/>
        <w:tblInd w:w="0" w:type="dxa"/>
        <w:tblLayout w:type="fixed"/>
        <w:tblLook w:val="0400" w:firstRow="0" w:lastRow="0" w:firstColumn="0" w:lastColumn="0" w:noHBand="0" w:noVBand="1"/>
      </w:tblPr>
      <w:tblGrid>
        <w:gridCol w:w="4514"/>
        <w:gridCol w:w="4514"/>
      </w:tblGrid>
      <w:tr w:rsidR="00D17B12" w14:paraId="3AD794D1" w14:textId="77777777">
        <w:trPr>
          <w:trHeight w:val="21"/>
        </w:trPr>
        <w:tc>
          <w:tcPr>
            <w:tcW w:w="4514" w:type="dxa"/>
            <w:tcBorders>
              <w:top w:val="single" w:sz="8" w:space="0" w:color="000000"/>
              <w:left w:val="single" w:sz="8" w:space="0" w:color="000000"/>
              <w:bottom w:val="single" w:sz="8" w:space="0" w:color="000000"/>
              <w:right w:val="single" w:sz="8" w:space="0" w:color="000000"/>
            </w:tcBorders>
            <w:shd w:val="clear" w:color="auto" w:fill="1F3864"/>
            <w:vAlign w:val="bottom"/>
          </w:tcPr>
          <w:p w14:paraId="3CAC3BE2" w14:textId="77777777" w:rsidR="00D17B12" w:rsidRDefault="007526ED">
            <w:pPr>
              <w:spacing w:line="240" w:lineRule="auto"/>
              <w:jc w:val="center"/>
              <w:rPr>
                <w:rFonts w:ascii="Calibri" w:eastAsia="Calibri" w:hAnsi="Calibri" w:cs="Calibri"/>
                <w:b/>
                <w:bCs/>
                <w:color w:val="FFFFFF"/>
              </w:rPr>
            </w:pPr>
            <w:r>
              <w:rPr>
                <w:rFonts w:ascii="Calibri" w:eastAsia="Calibri" w:hAnsi="Calibri" w:cs="Calibri"/>
                <w:b/>
                <w:bCs/>
                <w:color w:val="FFFFFF"/>
              </w:rPr>
              <w:t>Año</w:t>
            </w:r>
          </w:p>
        </w:tc>
        <w:tc>
          <w:tcPr>
            <w:tcW w:w="4514" w:type="dxa"/>
            <w:tcBorders>
              <w:top w:val="single" w:sz="8" w:space="0" w:color="000000"/>
              <w:left w:val="single" w:sz="8" w:space="0" w:color="000000"/>
              <w:bottom w:val="single" w:sz="8" w:space="0" w:color="000000"/>
              <w:right w:val="single" w:sz="8" w:space="0" w:color="000000"/>
            </w:tcBorders>
            <w:shd w:val="clear" w:color="auto" w:fill="1F3864"/>
            <w:vAlign w:val="bottom"/>
          </w:tcPr>
          <w:p w14:paraId="36822BD0" w14:textId="77777777" w:rsidR="00D17B12" w:rsidRDefault="007526ED">
            <w:pPr>
              <w:spacing w:line="240" w:lineRule="auto"/>
              <w:jc w:val="center"/>
              <w:rPr>
                <w:rFonts w:ascii="Calibri" w:eastAsia="Calibri" w:hAnsi="Calibri" w:cs="Calibri"/>
                <w:b/>
                <w:bCs/>
                <w:color w:val="FFFFFF"/>
              </w:rPr>
            </w:pPr>
            <w:r>
              <w:rPr>
                <w:rFonts w:ascii="Calibri" w:eastAsia="Calibri" w:hAnsi="Calibri" w:cs="Calibri"/>
                <w:b/>
                <w:bCs/>
                <w:color w:val="FFFFFF"/>
              </w:rPr>
              <w:t>Presupuesto</w:t>
            </w:r>
          </w:p>
        </w:tc>
      </w:tr>
      <w:tr w:rsidR="00D17B12" w14:paraId="1BB7BF84" w14:textId="77777777">
        <w:trPr>
          <w:trHeight w:val="21"/>
        </w:trPr>
        <w:tc>
          <w:tcPr>
            <w:tcW w:w="4514" w:type="dxa"/>
            <w:tcBorders>
              <w:top w:val="single" w:sz="8" w:space="0" w:color="000000"/>
              <w:left w:val="single" w:sz="8" w:space="0" w:color="000000"/>
              <w:bottom w:val="single" w:sz="8" w:space="0" w:color="000000"/>
              <w:right w:val="single" w:sz="8" w:space="0" w:color="000000"/>
            </w:tcBorders>
            <w:vAlign w:val="bottom"/>
          </w:tcPr>
          <w:p w14:paraId="7B74EFFC" w14:textId="77777777" w:rsidR="00D17B12" w:rsidRDefault="007526ED">
            <w:pPr>
              <w:spacing w:line="240" w:lineRule="auto"/>
              <w:jc w:val="center"/>
              <w:rPr>
                <w:rFonts w:ascii="Calibri" w:eastAsia="Calibri" w:hAnsi="Calibri" w:cs="Calibri"/>
              </w:rPr>
            </w:pPr>
            <w:r>
              <w:rPr>
                <w:rFonts w:ascii="Calibri" w:eastAsia="Calibri" w:hAnsi="Calibri" w:cs="Calibri"/>
              </w:rPr>
              <w:t>2012</w:t>
            </w:r>
          </w:p>
        </w:tc>
        <w:tc>
          <w:tcPr>
            <w:tcW w:w="4514" w:type="dxa"/>
            <w:tcBorders>
              <w:top w:val="single" w:sz="8" w:space="0" w:color="000000"/>
              <w:left w:val="single" w:sz="8" w:space="0" w:color="000000"/>
              <w:bottom w:val="single" w:sz="8" w:space="0" w:color="000000"/>
              <w:right w:val="single" w:sz="8" w:space="0" w:color="000000"/>
            </w:tcBorders>
            <w:vAlign w:val="center"/>
          </w:tcPr>
          <w:p w14:paraId="5027A37D" w14:textId="77777777" w:rsidR="00D17B12" w:rsidRDefault="007526ED">
            <w:pPr>
              <w:spacing w:line="240" w:lineRule="auto"/>
              <w:jc w:val="center"/>
              <w:rPr>
                <w:rFonts w:ascii="Calibri" w:eastAsia="Calibri" w:hAnsi="Calibri" w:cs="Calibri"/>
              </w:rPr>
            </w:pPr>
            <w:r>
              <w:rPr>
                <w:rFonts w:ascii="Calibri" w:eastAsia="Calibri" w:hAnsi="Calibri" w:cs="Calibri"/>
              </w:rPr>
              <w:t>7 329 200</w:t>
            </w:r>
          </w:p>
        </w:tc>
      </w:tr>
      <w:tr w:rsidR="00D17B12" w14:paraId="2068F675" w14:textId="77777777">
        <w:trPr>
          <w:trHeight w:val="21"/>
        </w:trPr>
        <w:tc>
          <w:tcPr>
            <w:tcW w:w="4514" w:type="dxa"/>
            <w:tcBorders>
              <w:top w:val="single" w:sz="8" w:space="0" w:color="000000"/>
              <w:left w:val="single" w:sz="8" w:space="0" w:color="000000"/>
              <w:bottom w:val="single" w:sz="8" w:space="0" w:color="000000"/>
              <w:right w:val="single" w:sz="8" w:space="0" w:color="000000"/>
            </w:tcBorders>
            <w:vAlign w:val="bottom"/>
          </w:tcPr>
          <w:p w14:paraId="733ADAE8" w14:textId="77777777" w:rsidR="00D17B12" w:rsidRDefault="007526ED">
            <w:pPr>
              <w:spacing w:line="240" w:lineRule="auto"/>
              <w:jc w:val="center"/>
              <w:rPr>
                <w:rFonts w:ascii="Calibri" w:eastAsia="Calibri" w:hAnsi="Calibri" w:cs="Calibri"/>
              </w:rPr>
            </w:pPr>
            <w:r>
              <w:rPr>
                <w:rFonts w:ascii="Calibri" w:eastAsia="Calibri" w:hAnsi="Calibri" w:cs="Calibri"/>
              </w:rPr>
              <w:t>2013</w:t>
            </w:r>
          </w:p>
        </w:tc>
        <w:tc>
          <w:tcPr>
            <w:tcW w:w="4514" w:type="dxa"/>
            <w:tcBorders>
              <w:top w:val="single" w:sz="8" w:space="0" w:color="000000"/>
              <w:left w:val="single" w:sz="8" w:space="0" w:color="000000"/>
              <w:bottom w:val="single" w:sz="8" w:space="0" w:color="000000"/>
              <w:right w:val="single" w:sz="8" w:space="0" w:color="000000"/>
            </w:tcBorders>
            <w:vAlign w:val="center"/>
          </w:tcPr>
          <w:p w14:paraId="33ECD9B6" w14:textId="77777777" w:rsidR="00D17B12" w:rsidRDefault="007526ED">
            <w:pPr>
              <w:spacing w:line="240" w:lineRule="auto"/>
              <w:jc w:val="center"/>
              <w:rPr>
                <w:rFonts w:ascii="Calibri" w:eastAsia="Calibri" w:hAnsi="Calibri" w:cs="Calibri"/>
              </w:rPr>
            </w:pPr>
            <w:r>
              <w:rPr>
                <w:rFonts w:ascii="Calibri" w:eastAsia="Calibri" w:hAnsi="Calibri" w:cs="Calibri"/>
              </w:rPr>
              <w:t>7 990 000</w:t>
            </w:r>
          </w:p>
        </w:tc>
      </w:tr>
      <w:tr w:rsidR="00D17B12" w14:paraId="1B7EB085" w14:textId="77777777">
        <w:trPr>
          <w:trHeight w:val="21"/>
        </w:trPr>
        <w:tc>
          <w:tcPr>
            <w:tcW w:w="4514" w:type="dxa"/>
            <w:tcBorders>
              <w:top w:val="single" w:sz="8" w:space="0" w:color="000000"/>
              <w:left w:val="single" w:sz="8" w:space="0" w:color="000000"/>
              <w:bottom w:val="single" w:sz="8" w:space="0" w:color="000000"/>
              <w:right w:val="single" w:sz="8" w:space="0" w:color="000000"/>
            </w:tcBorders>
            <w:vAlign w:val="bottom"/>
          </w:tcPr>
          <w:p w14:paraId="75C3AA16" w14:textId="77777777" w:rsidR="00D17B12" w:rsidRDefault="007526ED">
            <w:pPr>
              <w:spacing w:line="240" w:lineRule="auto"/>
              <w:jc w:val="center"/>
              <w:rPr>
                <w:rFonts w:ascii="Calibri" w:eastAsia="Calibri" w:hAnsi="Calibri" w:cs="Calibri"/>
              </w:rPr>
            </w:pPr>
            <w:r>
              <w:rPr>
                <w:rFonts w:ascii="Calibri" w:eastAsia="Calibri" w:hAnsi="Calibri" w:cs="Calibri"/>
              </w:rPr>
              <w:t>2014</w:t>
            </w:r>
          </w:p>
        </w:tc>
        <w:tc>
          <w:tcPr>
            <w:tcW w:w="4514" w:type="dxa"/>
            <w:tcBorders>
              <w:top w:val="single" w:sz="8" w:space="0" w:color="000000"/>
              <w:left w:val="single" w:sz="8" w:space="0" w:color="000000"/>
              <w:bottom w:val="single" w:sz="8" w:space="0" w:color="000000"/>
              <w:right w:val="single" w:sz="8" w:space="0" w:color="000000"/>
            </w:tcBorders>
            <w:vAlign w:val="center"/>
          </w:tcPr>
          <w:p w14:paraId="6E61080C" w14:textId="77777777" w:rsidR="00D17B12" w:rsidRDefault="007526ED">
            <w:pPr>
              <w:spacing w:line="240" w:lineRule="auto"/>
              <w:jc w:val="center"/>
              <w:rPr>
                <w:rFonts w:ascii="Calibri" w:eastAsia="Calibri" w:hAnsi="Calibri" w:cs="Calibri"/>
              </w:rPr>
            </w:pPr>
            <w:r>
              <w:rPr>
                <w:rFonts w:ascii="Calibri" w:eastAsia="Calibri" w:hAnsi="Calibri" w:cs="Calibri"/>
              </w:rPr>
              <w:t>7 870 000</w:t>
            </w:r>
          </w:p>
        </w:tc>
      </w:tr>
      <w:tr w:rsidR="00D17B12" w14:paraId="2B94C15B" w14:textId="77777777">
        <w:trPr>
          <w:trHeight w:val="21"/>
        </w:trPr>
        <w:tc>
          <w:tcPr>
            <w:tcW w:w="4514" w:type="dxa"/>
            <w:tcBorders>
              <w:top w:val="single" w:sz="8" w:space="0" w:color="000000"/>
              <w:left w:val="single" w:sz="8" w:space="0" w:color="000000"/>
              <w:bottom w:val="single" w:sz="8" w:space="0" w:color="000000"/>
              <w:right w:val="single" w:sz="8" w:space="0" w:color="000000"/>
            </w:tcBorders>
            <w:vAlign w:val="bottom"/>
          </w:tcPr>
          <w:p w14:paraId="6646910A" w14:textId="77777777" w:rsidR="00D17B12" w:rsidRDefault="007526ED">
            <w:pPr>
              <w:spacing w:line="240" w:lineRule="auto"/>
              <w:jc w:val="center"/>
              <w:rPr>
                <w:rFonts w:ascii="Calibri" w:eastAsia="Calibri" w:hAnsi="Calibri" w:cs="Calibri"/>
              </w:rPr>
            </w:pPr>
            <w:r>
              <w:rPr>
                <w:rFonts w:ascii="Calibri" w:eastAsia="Calibri" w:hAnsi="Calibri" w:cs="Calibri"/>
              </w:rPr>
              <w:t>2015</w:t>
            </w:r>
          </w:p>
        </w:tc>
        <w:tc>
          <w:tcPr>
            <w:tcW w:w="4514" w:type="dxa"/>
            <w:tcBorders>
              <w:top w:val="single" w:sz="8" w:space="0" w:color="000000"/>
              <w:left w:val="single" w:sz="8" w:space="0" w:color="000000"/>
              <w:bottom w:val="single" w:sz="8" w:space="0" w:color="000000"/>
              <w:right w:val="single" w:sz="8" w:space="0" w:color="000000"/>
            </w:tcBorders>
            <w:vAlign w:val="center"/>
          </w:tcPr>
          <w:p w14:paraId="3C372BB6" w14:textId="77777777" w:rsidR="00D17B12" w:rsidRDefault="007526ED">
            <w:pPr>
              <w:spacing w:line="240" w:lineRule="auto"/>
              <w:jc w:val="center"/>
              <w:rPr>
                <w:rFonts w:ascii="Calibri" w:eastAsia="Calibri" w:hAnsi="Calibri" w:cs="Calibri"/>
              </w:rPr>
            </w:pPr>
            <w:r>
              <w:rPr>
                <w:rFonts w:ascii="Calibri" w:eastAsia="Calibri" w:hAnsi="Calibri" w:cs="Calibri"/>
              </w:rPr>
              <w:t>7 975 000</w:t>
            </w:r>
          </w:p>
        </w:tc>
      </w:tr>
      <w:tr w:rsidR="00D17B12" w14:paraId="2EBD64E0" w14:textId="77777777">
        <w:trPr>
          <w:trHeight w:val="21"/>
        </w:trPr>
        <w:tc>
          <w:tcPr>
            <w:tcW w:w="4514" w:type="dxa"/>
            <w:tcBorders>
              <w:top w:val="single" w:sz="8" w:space="0" w:color="000000"/>
              <w:left w:val="single" w:sz="8" w:space="0" w:color="000000"/>
              <w:bottom w:val="single" w:sz="8" w:space="0" w:color="000000"/>
              <w:right w:val="single" w:sz="8" w:space="0" w:color="000000"/>
            </w:tcBorders>
            <w:vAlign w:val="bottom"/>
          </w:tcPr>
          <w:p w14:paraId="04CA8A8B" w14:textId="77777777" w:rsidR="00D17B12" w:rsidRDefault="007526ED">
            <w:pPr>
              <w:spacing w:line="240" w:lineRule="auto"/>
              <w:jc w:val="center"/>
              <w:rPr>
                <w:rFonts w:ascii="Calibri" w:eastAsia="Calibri" w:hAnsi="Calibri" w:cs="Calibri"/>
              </w:rPr>
            </w:pPr>
            <w:r>
              <w:rPr>
                <w:rFonts w:ascii="Calibri" w:eastAsia="Calibri" w:hAnsi="Calibri" w:cs="Calibri"/>
              </w:rPr>
              <w:t>2016</w:t>
            </w:r>
          </w:p>
        </w:tc>
        <w:tc>
          <w:tcPr>
            <w:tcW w:w="4514" w:type="dxa"/>
            <w:tcBorders>
              <w:top w:val="single" w:sz="8" w:space="0" w:color="000000"/>
              <w:left w:val="single" w:sz="8" w:space="0" w:color="000000"/>
              <w:bottom w:val="single" w:sz="8" w:space="0" w:color="000000"/>
              <w:right w:val="single" w:sz="8" w:space="0" w:color="000000"/>
            </w:tcBorders>
            <w:vAlign w:val="center"/>
          </w:tcPr>
          <w:p w14:paraId="693198BC" w14:textId="77777777" w:rsidR="00D17B12" w:rsidRDefault="007526ED">
            <w:pPr>
              <w:spacing w:line="240" w:lineRule="auto"/>
              <w:jc w:val="center"/>
              <w:rPr>
                <w:rFonts w:ascii="Calibri" w:eastAsia="Calibri" w:hAnsi="Calibri" w:cs="Calibri"/>
              </w:rPr>
            </w:pPr>
            <w:r>
              <w:rPr>
                <w:rFonts w:ascii="Calibri" w:eastAsia="Calibri" w:hAnsi="Calibri" w:cs="Calibri"/>
              </w:rPr>
              <w:t>7 469 400</w:t>
            </w:r>
          </w:p>
        </w:tc>
      </w:tr>
      <w:tr w:rsidR="00D17B12" w14:paraId="1C61C31E" w14:textId="77777777">
        <w:trPr>
          <w:trHeight w:val="21"/>
        </w:trPr>
        <w:tc>
          <w:tcPr>
            <w:tcW w:w="4514" w:type="dxa"/>
            <w:tcBorders>
              <w:top w:val="single" w:sz="8" w:space="0" w:color="000000"/>
              <w:left w:val="single" w:sz="8" w:space="0" w:color="000000"/>
              <w:bottom w:val="single" w:sz="8" w:space="0" w:color="000000"/>
              <w:right w:val="single" w:sz="8" w:space="0" w:color="000000"/>
            </w:tcBorders>
            <w:vAlign w:val="bottom"/>
          </w:tcPr>
          <w:p w14:paraId="32D3B387" w14:textId="77777777" w:rsidR="00D17B12" w:rsidRDefault="007526ED">
            <w:pPr>
              <w:spacing w:line="240" w:lineRule="auto"/>
              <w:jc w:val="center"/>
              <w:rPr>
                <w:rFonts w:ascii="Calibri" w:eastAsia="Calibri" w:hAnsi="Calibri" w:cs="Calibri"/>
              </w:rPr>
            </w:pPr>
            <w:r>
              <w:rPr>
                <w:rFonts w:ascii="Calibri" w:eastAsia="Calibri" w:hAnsi="Calibri" w:cs="Calibri"/>
              </w:rPr>
              <w:t>2017</w:t>
            </w:r>
          </w:p>
        </w:tc>
        <w:tc>
          <w:tcPr>
            <w:tcW w:w="4514" w:type="dxa"/>
            <w:tcBorders>
              <w:top w:val="single" w:sz="8" w:space="0" w:color="000000"/>
              <w:left w:val="single" w:sz="8" w:space="0" w:color="000000"/>
              <w:bottom w:val="single" w:sz="8" w:space="0" w:color="000000"/>
              <w:right w:val="single" w:sz="8" w:space="0" w:color="000000"/>
            </w:tcBorders>
            <w:vAlign w:val="center"/>
          </w:tcPr>
          <w:p w14:paraId="7E9B06D3" w14:textId="77777777" w:rsidR="00D17B12" w:rsidRDefault="007526ED">
            <w:pPr>
              <w:spacing w:line="240" w:lineRule="auto"/>
              <w:jc w:val="center"/>
              <w:rPr>
                <w:rFonts w:ascii="Calibri" w:eastAsia="Calibri" w:hAnsi="Calibri" w:cs="Calibri"/>
              </w:rPr>
            </w:pPr>
            <w:r>
              <w:rPr>
                <w:rFonts w:ascii="Calibri" w:eastAsia="Calibri" w:hAnsi="Calibri" w:cs="Calibri"/>
              </w:rPr>
              <w:t>7 858 600</w:t>
            </w:r>
          </w:p>
        </w:tc>
      </w:tr>
      <w:tr w:rsidR="00D17B12" w14:paraId="2A280369" w14:textId="77777777">
        <w:trPr>
          <w:trHeight w:val="21"/>
        </w:trPr>
        <w:tc>
          <w:tcPr>
            <w:tcW w:w="4514" w:type="dxa"/>
            <w:tcBorders>
              <w:top w:val="single" w:sz="8" w:space="0" w:color="000000"/>
              <w:left w:val="single" w:sz="8" w:space="0" w:color="000000"/>
              <w:bottom w:val="single" w:sz="8" w:space="0" w:color="000000"/>
              <w:right w:val="single" w:sz="8" w:space="0" w:color="000000"/>
            </w:tcBorders>
            <w:vAlign w:val="bottom"/>
          </w:tcPr>
          <w:p w14:paraId="6D87101E" w14:textId="77777777" w:rsidR="00D17B12" w:rsidRDefault="007526ED">
            <w:pPr>
              <w:spacing w:line="240" w:lineRule="auto"/>
              <w:jc w:val="center"/>
              <w:rPr>
                <w:rFonts w:ascii="Calibri" w:eastAsia="Calibri" w:hAnsi="Calibri" w:cs="Calibri"/>
              </w:rPr>
            </w:pPr>
            <w:r>
              <w:rPr>
                <w:rFonts w:ascii="Calibri" w:eastAsia="Calibri" w:hAnsi="Calibri" w:cs="Calibri"/>
              </w:rPr>
              <w:t>2018</w:t>
            </w:r>
          </w:p>
        </w:tc>
        <w:tc>
          <w:tcPr>
            <w:tcW w:w="4514" w:type="dxa"/>
            <w:tcBorders>
              <w:top w:val="single" w:sz="8" w:space="0" w:color="000000"/>
              <w:left w:val="single" w:sz="8" w:space="0" w:color="000000"/>
              <w:bottom w:val="single" w:sz="8" w:space="0" w:color="000000"/>
              <w:right w:val="single" w:sz="8" w:space="0" w:color="000000"/>
            </w:tcBorders>
            <w:vAlign w:val="center"/>
          </w:tcPr>
          <w:p w14:paraId="71822DE8" w14:textId="77777777" w:rsidR="00D17B12" w:rsidRDefault="007526ED">
            <w:pPr>
              <w:spacing w:line="240" w:lineRule="auto"/>
              <w:jc w:val="center"/>
              <w:rPr>
                <w:rFonts w:ascii="Calibri" w:eastAsia="Calibri" w:hAnsi="Calibri" w:cs="Calibri"/>
              </w:rPr>
            </w:pPr>
            <w:r>
              <w:rPr>
                <w:rFonts w:ascii="Calibri" w:eastAsia="Calibri" w:hAnsi="Calibri" w:cs="Calibri"/>
              </w:rPr>
              <w:t>20 002 200</w:t>
            </w:r>
          </w:p>
        </w:tc>
      </w:tr>
      <w:tr w:rsidR="00D17B12" w14:paraId="0FBC125A" w14:textId="77777777">
        <w:trPr>
          <w:trHeight w:val="21"/>
        </w:trPr>
        <w:tc>
          <w:tcPr>
            <w:tcW w:w="4514" w:type="dxa"/>
            <w:tcBorders>
              <w:top w:val="single" w:sz="8" w:space="0" w:color="000000"/>
              <w:left w:val="single" w:sz="8" w:space="0" w:color="000000"/>
              <w:bottom w:val="single" w:sz="8" w:space="0" w:color="000000"/>
              <w:right w:val="single" w:sz="8" w:space="0" w:color="000000"/>
            </w:tcBorders>
            <w:vAlign w:val="bottom"/>
          </w:tcPr>
          <w:p w14:paraId="5C179CCC" w14:textId="77777777" w:rsidR="00D17B12" w:rsidRDefault="007526ED">
            <w:pPr>
              <w:spacing w:line="240" w:lineRule="auto"/>
              <w:jc w:val="center"/>
              <w:rPr>
                <w:rFonts w:ascii="Calibri" w:eastAsia="Calibri" w:hAnsi="Calibri" w:cs="Calibri"/>
              </w:rPr>
            </w:pPr>
            <w:r>
              <w:rPr>
                <w:rFonts w:ascii="Calibri" w:eastAsia="Calibri" w:hAnsi="Calibri" w:cs="Calibri"/>
              </w:rPr>
              <w:t>2019</w:t>
            </w:r>
          </w:p>
        </w:tc>
        <w:tc>
          <w:tcPr>
            <w:tcW w:w="4514" w:type="dxa"/>
            <w:tcBorders>
              <w:top w:val="single" w:sz="8" w:space="0" w:color="000000"/>
              <w:left w:val="single" w:sz="8" w:space="0" w:color="000000"/>
              <w:bottom w:val="single" w:sz="8" w:space="0" w:color="000000"/>
              <w:right w:val="single" w:sz="8" w:space="0" w:color="000000"/>
            </w:tcBorders>
            <w:vAlign w:val="bottom"/>
          </w:tcPr>
          <w:p w14:paraId="10E72D28" w14:textId="77777777" w:rsidR="00D17B12" w:rsidRDefault="007526ED">
            <w:pPr>
              <w:spacing w:line="240" w:lineRule="auto"/>
              <w:jc w:val="center"/>
              <w:rPr>
                <w:rFonts w:ascii="Calibri" w:eastAsia="Calibri" w:hAnsi="Calibri" w:cs="Calibri"/>
              </w:rPr>
            </w:pPr>
            <w:r>
              <w:rPr>
                <w:rFonts w:ascii="Calibri" w:eastAsia="Calibri" w:hAnsi="Calibri" w:cs="Calibri"/>
              </w:rPr>
              <w:t>20 587 500</w:t>
            </w:r>
          </w:p>
        </w:tc>
      </w:tr>
      <w:tr w:rsidR="00D17B12" w14:paraId="7B4FB682" w14:textId="77777777">
        <w:trPr>
          <w:trHeight w:val="21"/>
        </w:trPr>
        <w:tc>
          <w:tcPr>
            <w:tcW w:w="4514" w:type="dxa"/>
            <w:tcBorders>
              <w:top w:val="single" w:sz="8" w:space="0" w:color="000000"/>
              <w:left w:val="single" w:sz="8" w:space="0" w:color="000000"/>
              <w:bottom w:val="single" w:sz="8" w:space="0" w:color="000000"/>
              <w:right w:val="single" w:sz="8" w:space="0" w:color="000000"/>
            </w:tcBorders>
            <w:vAlign w:val="bottom"/>
          </w:tcPr>
          <w:p w14:paraId="3D18D0BA" w14:textId="77777777" w:rsidR="00D17B12" w:rsidRDefault="007526ED">
            <w:pPr>
              <w:spacing w:line="240" w:lineRule="auto"/>
              <w:jc w:val="center"/>
              <w:rPr>
                <w:rFonts w:ascii="Calibri" w:eastAsia="Calibri" w:hAnsi="Calibri" w:cs="Calibri"/>
              </w:rPr>
            </w:pPr>
            <w:r>
              <w:rPr>
                <w:rFonts w:ascii="Calibri" w:eastAsia="Calibri" w:hAnsi="Calibri" w:cs="Calibri"/>
              </w:rPr>
              <w:t>2020</w:t>
            </w:r>
          </w:p>
        </w:tc>
        <w:tc>
          <w:tcPr>
            <w:tcW w:w="4514" w:type="dxa"/>
            <w:tcBorders>
              <w:top w:val="single" w:sz="8" w:space="0" w:color="000000"/>
              <w:left w:val="single" w:sz="8" w:space="0" w:color="000000"/>
              <w:bottom w:val="single" w:sz="8" w:space="0" w:color="000000"/>
              <w:right w:val="single" w:sz="8" w:space="0" w:color="000000"/>
            </w:tcBorders>
            <w:vAlign w:val="bottom"/>
          </w:tcPr>
          <w:p w14:paraId="7C0C34BA" w14:textId="77777777" w:rsidR="00D17B12" w:rsidRDefault="007526ED">
            <w:pPr>
              <w:spacing w:line="240" w:lineRule="auto"/>
              <w:jc w:val="center"/>
              <w:rPr>
                <w:rFonts w:ascii="Calibri" w:eastAsia="Calibri" w:hAnsi="Calibri" w:cs="Calibri"/>
              </w:rPr>
            </w:pPr>
            <w:r>
              <w:rPr>
                <w:rFonts w:ascii="Calibri" w:eastAsia="Calibri" w:hAnsi="Calibri" w:cs="Calibri"/>
              </w:rPr>
              <w:t>20 184 500</w:t>
            </w:r>
          </w:p>
        </w:tc>
      </w:tr>
      <w:tr w:rsidR="00D17B12" w14:paraId="48ACFE3B" w14:textId="77777777">
        <w:trPr>
          <w:trHeight w:val="21"/>
        </w:trPr>
        <w:tc>
          <w:tcPr>
            <w:tcW w:w="4514" w:type="dxa"/>
            <w:tcBorders>
              <w:top w:val="single" w:sz="8" w:space="0" w:color="000000"/>
              <w:left w:val="single" w:sz="8" w:space="0" w:color="000000"/>
              <w:bottom w:val="single" w:sz="8" w:space="0" w:color="000000"/>
              <w:right w:val="single" w:sz="8" w:space="0" w:color="000000"/>
            </w:tcBorders>
            <w:vAlign w:val="bottom"/>
          </w:tcPr>
          <w:p w14:paraId="3C198BA5" w14:textId="77777777" w:rsidR="00D17B12" w:rsidRDefault="007526ED">
            <w:pPr>
              <w:spacing w:line="240" w:lineRule="auto"/>
              <w:jc w:val="center"/>
              <w:rPr>
                <w:rFonts w:ascii="Calibri" w:eastAsia="Calibri" w:hAnsi="Calibri" w:cs="Calibri"/>
              </w:rPr>
            </w:pPr>
            <w:r>
              <w:rPr>
                <w:rFonts w:ascii="Calibri" w:eastAsia="Calibri" w:hAnsi="Calibri" w:cs="Calibri"/>
              </w:rPr>
              <w:t>2021</w:t>
            </w:r>
          </w:p>
        </w:tc>
        <w:tc>
          <w:tcPr>
            <w:tcW w:w="4514" w:type="dxa"/>
            <w:tcBorders>
              <w:top w:val="single" w:sz="8" w:space="0" w:color="000000"/>
              <w:left w:val="single" w:sz="8" w:space="0" w:color="000000"/>
              <w:bottom w:val="single" w:sz="8" w:space="0" w:color="000000"/>
              <w:right w:val="single" w:sz="8" w:space="0" w:color="000000"/>
            </w:tcBorders>
            <w:vAlign w:val="bottom"/>
          </w:tcPr>
          <w:p w14:paraId="3B0EFA81" w14:textId="77777777" w:rsidR="00D17B12" w:rsidRDefault="007526ED">
            <w:pPr>
              <w:spacing w:line="240" w:lineRule="auto"/>
              <w:jc w:val="center"/>
              <w:rPr>
                <w:rFonts w:ascii="Calibri" w:eastAsia="Calibri" w:hAnsi="Calibri" w:cs="Calibri"/>
              </w:rPr>
            </w:pPr>
            <w:r>
              <w:rPr>
                <w:rFonts w:ascii="Calibri" w:eastAsia="Calibri" w:hAnsi="Calibri" w:cs="Calibri"/>
              </w:rPr>
              <w:t>26 400 000</w:t>
            </w:r>
          </w:p>
        </w:tc>
      </w:tr>
      <w:tr w:rsidR="00D17B12" w14:paraId="01A0886E" w14:textId="77777777">
        <w:trPr>
          <w:trHeight w:val="21"/>
        </w:trPr>
        <w:tc>
          <w:tcPr>
            <w:tcW w:w="4514" w:type="dxa"/>
            <w:tcBorders>
              <w:top w:val="single" w:sz="8" w:space="0" w:color="000000"/>
              <w:left w:val="single" w:sz="8" w:space="0" w:color="000000"/>
              <w:bottom w:val="single" w:sz="8" w:space="0" w:color="000000"/>
              <w:right w:val="single" w:sz="8" w:space="0" w:color="000000"/>
            </w:tcBorders>
            <w:vAlign w:val="bottom"/>
          </w:tcPr>
          <w:p w14:paraId="2FA1EF55" w14:textId="77777777" w:rsidR="00D17B12" w:rsidRDefault="007526ED">
            <w:pPr>
              <w:spacing w:line="240" w:lineRule="auto"/>
              <w:jc w:val="center"/>
              <w:rPr>
                <w:rFonts w:ascii="Calibri" w:eastAsia="Calibri" w:hAnsi="Calibri" w:cs="Calibri"/>
              </w:rPr>
            </w:pPr>
            <w:r>
              <w:rPr>
                <w:rFonts w:ascii="Calibri" w:eastAsia="Calibri" w:hAnsi="Calibri" w:cs="Calibri"/>
              </w:rPr>
              <w:t>2022</w:t>
            </w:r>
          </w:p>
        </w:tc>
        <w:tc>
          <w:tcPr>
            <w:tcW w:w="4514" w:type="dxa"/>
            <w:tcBorders>
              <w:top w:val="single" w:sz="8" w:space="0" w:color="000000"/>
              <w:left w:val="single" w:sz="8" w:space="0" w:color="000000"/>
              <w:bottom w:val="single" w:sz="8" w:space="0" w:color="000000"/>
              <w:right w:val="single" w:sz="8" w:space="0" w:color="000000"/>
            </w:tcBorders>
            <w:vAlign w:val="bottom"/>
          </w:tcPr>
          <w:p w14:paraId="726757CF" w14:textId="77777777" w:rsidR="00D17B12" w:rsidRDefault="007526ED">
            <w:pPr>
              <w:spacing w:line="240" w:lineRule="auto"/>
              <w:jc w:val="center"/>
              <w:rPr>
                <w:rFonts w:ascii="Calibri" w:eastAsia="Calibri" w:hAnsi="Calibri" w:cs="Calibri"/>
              </w:rPr>
            </w:pPr>
            <w:r>
              <w:rPr>
                <w:rFonts w:ascii="Calibri" w:eastAsia="Calibri" w:hAnsi="Calibri" w:cs="Calibri"/>
              </w:rPr>
              <w:t>27 600 000</w:t>
            </w:r>
          </w:p>
        </w:tc>
      </w:tr>
      <w:tr w:rsidR="00D17B12" w14:paraId="33680A1D" w14:textId="77777777">
        <w:trPr>
          <w:trHeight w:val="21"/>
        </w:trPr>
        <w:tc>
          <w:tcPr>
            <w:tcW w:w="4514" w:type="dxa"/>
            <w:tcBorders>
              <w:top w:val="single" w:sz="8" w:space="0" w:color="000000"/>
              <w:left w:val="single" w:sz="8" w:space="0" w:color="000000"/>
              <w:bottom w:val="single" w:sz="8" w:space="0" w:color="000000"/>
              <w:right w:val="single" w:sz="8" w:space="0" w:color="000000"/>
            </w:tcBorders>
            <w:vAlign w:val="bottom"/>
          </w:tcPr>
          <w:p w14:paraId="069E8A8E" w14:textId="77777777" w:rsidR="00D17B12" w:rsidRDefault="007526ED">
            <w:pPr>
              <w:spacing w:line="240" w:lineRule="auto"/>
              <w:jc w:val="center"/>
              <w:rPr>
                <w:rFonts w:ascii="Calibri" w:eastAsia="Calibri" w:hAnsi="Calibri" w:cs="Calibri"/>
              </w:rPr>
            </w:pPr>
            <w:r>
              <w:rPr>
                <w:rFonts w:ascii="Calibri" w:eastAsia="Calibri" w:hAnsi="Calibri" w:cs="Calibri"/>
              </w:rPr>
              <w:t>2023</w:t>
            </w:r>
          </w:p>
        </w:tc>
        <w:tc>
          <w:tcPr>
            <w:tcW w:w="4514" w:type="dxa"/>
            <w:tcBorders>
              <w:top w:val="single" w:sz="8" w:space="0" w:color="000000"/>
              <w:left w:val="single" w:sz="8" w:space="0" w:color="000000"/>
              <w:bottom w:val="single" w:sz="8" w:space="0" w:color="000000"/>
              <w:right w:val="single" w:sz="8" w:space="0" w:color="000000"/>
            </w:tcBorders>
            <w:vAlign w:val="bottom"/>
          </w:tcPr>
          <w:p w14:paraId="0B360B9C" w14:textId="77777777" w:rsidR="00D17B12" w:rsidRDefault="007526ED">
            <w:pPr>
              <w:spacing w:line="240" w:lineRule="auto"/>
              <w:jc w:val="center"/>
              <w:rPr>
                <w:rFonts w:ascii="Calibri" w:eastAsia="Calibri" w:hAnsi="Calibri" w:cs="Calibri"/>
              </w:rPr>
            </w:pPr>
            <w:r>
              <w:rPr>
                <w:rFonts w:ascii="Calibri" w:eastAsia="Calibri" w:hAnsi="Calibri" w:cs="Calibri"/>
              </w:rPr>
              <w:t>29 700 000</w:t>
            </w:r>
          </w:p>
        </w:tc>
      </w:tr>
      <w:tr w:rsidR="00D17B12" w14:paraId="07C1E47C" w14:textId="77777777">
        <w:trPr>
          <w:trHeight w:val="21"/>
        </w:trPr>
        <w:tc>
          <w:tcPr>
            <w:tcW w:w="4514" w:type="dxa"/>
            <w:tcBorders>
              <w:top w:val="single" w:sz="8" w:space="0" w:color="000000"/>
              <w:left w:val="single" w:sz="8" w:space="0" w:color="000000"/>
              <w:bottom w:val="single" w:sz="8" w:space="0" w:color="000000"/>
              <w:right w:val="single" w:sz="8" w:space="0" w:color="000000"/>
            </w:tcBorders>
            <w:vAlign w:val="bottom"/>
          </w:tcPr>
          <w:p w14:paraId="3958DC13" w14:textId="77777777" w:rsidR="00D17B12" w:rsidRDefault="007526ED">
            <w:pPr>
              <w:spacing w:line="240" w:lineRule="auto"/>
              <w:jc w:val="center"/>
              <w:rPr>
                <w:rFonts w:ascii="Calibri" w:eastAsia="Calibri" w:hAnsi="Calibri" w:cs="Calibri"/>
              </w:rPr>
            </w:pPr>
            <w:r>
              <w:rPr>
                <w:rFonts w:ascii="Calibri" w:eastAsia="Calibri" w:hAnsi="Calibri" w:cs="Calibri"/>
              </w:rPr>
              <w:t>2024</w:t>
            </w:r>
          </w:p>
        </w:tc>
        <w:tc>
          <w:tcPr>
            <w:tcW w:w="4514" w:type="dxa"/>
            <w:tcBorders>
              <w:top w:val="single" w:sz="8" w:space="0" w:color="000000"/>
              <w:left w:val="single" w:sz="8" w:space="0" w:color="000000"/>
              <w:bottom w:val="single" w:sz="8" w:space="0" w:color="000000"/>
              <w:right w:val="single" w:sz="8" w:space="0" w:color="000000"/>
            </w:tcBorders>
            <w:vAlign w:val="bottom"/>
          </w:tcPr>
          <w:p w14:paraId="20FF9348" w14:textId="77777777" w:rsidR="00D17B12" w:rsidRDefault="007526ED">
            <w:pPr>
              <w:spacing w:line="240" w:lineRule="auto"/>
              <w:jc w:val="center"/>
              <w:rPr>
                <w:rFonts w:ascii="Calibri" w:eastAsia="Calibri" w:hAnsi="Calibri" w:cs="Calibri"/>
              </w:rPr>
            </w:pPr>
            <w:r>
              <w:rPr>
                <w:rFonts w:ascii="Calibri" w:eastAsia="Calibri" w:hAnsi="Calibri" w:cs="Calibri"/>
              </w:rPr>
              <w:t>30 900 000</w:t>
            </w:r>
          </w:p>
        </w:tc>
      </w:tr>
      <w:tr w:rsidR="00D17B12" w14:paraId="7A82A25B" w14:textId="77777777">
        <w:trPr>
          <w:trHeight w:val="21"/>
        </w:trPr>
        <w:tc>
          <w:tcPr>
            <w:tcW w:w="4514" w:type="dxa"/>
            <w:tcBorders>
              <w:top w:val="single" w:sz="8" w:space="0" w:color="000000"/>
              <w:left w:val="single" w:sz="8" w:space="0" w:color="000000"/>
              <w:bottom w:val="single" w:sz="8" w:space="0" w:color="000000"/>
              <w:right w:val="single" w:sz="8" w:space="0" w:color="000000"/>
            </w:tcBorders>
            <w:shd w:val="clear" w:color="auto" w:fill="1F3864"/>
            <w:vAlign w:val="bottom"/>
          </w:tcPr>
          <w:p w14:paraId="34672CC8" w14:textId="77777777" w:rsidR="00D17B12" w:rsidRDefault="007526ED">
            <w:pPr>
              <w:spacing w:line="240" w:lineRule="auto"/>
              <w:jc w:val="center"/>
              <w:rPr>
                <w:rFonts w:ascii="Calibri" w:eastAsia="Calibri" w:hAnsi="Calibri" w:cs="Calibri"/>
              </w:rPr>
            </w:pPr>
            <w:r>
              <w:rPr>
                <w:rFonts w:ascii="Calibri" w:eastAsia="Calibri" w:hAnsi="Calibri" w:cs="Calibri"/>
                <w:b/>
                <w:bCs/>
                <w:color w:val="FFFFFF"/>
              </w:rPr>
              <w:t>Total</w:t>
            </w:r>
          </w:p>
        </w:tc>
        <w:tc>
          <w:tcPr>
            <w:tcW w:w="4514" w:type="dxa"/>
            <w:tcBorders>
              <w:top w:val="single" w:sz="8" w:space="0" w:color="000000"/>
              <w:left w:val="single" w:sz="8" w:space="0" w:color="000000"/>
              <w:bottom w:val="single" w:sz="8" w:space="0" w:color="000000"/>
              <w:right w:val="single" w:sz="8" w:space="0" w:color="000000"/>
            </w:tcBorders>
            <w:vAlign w:val="bottom"/>
          </w:tcPr>
          <w:p w14:paraId="752DD649" w14:textId="77777777" w:rsidR="00D17B12" w:rsidRDefault="007526ED">
            <w:pPr>
              <w:spacing w:line="240" w:lineRule="auto"/>
              <w:jc w:val="center"/>
              <w:rPr>
                <w:rFonts w:ascii="Calibri" w:eastAsia="Calibri" w:hAnsi="Calibri" w:cs="Calibri"/>
              </w:rPr>
            </w:pPr>
            <w:r>
              <w:rPr>
                <w:rFonts w:ascii="Calibri" w:eastAsia="Calibri" w:hAnsi="Calibri" w:cs="Calibri"/>
              </w:rPr>
              <w:t>221 866 400</w:t>
            </w:r>
          </w:p>
        </w:tc>
      </w:tr>
    </w:tbl>
    <w:p w14:paraId="009B765F" w14:textId="77777777" w:rsidR="00D17B12" w:rsidRDefault="007526ED">
      <w:pPr>
        <w:spacing w:before="240" w:after="240" w:line="240" w:lineRule="auto"/>
        <w:jc w:val="center"/>
      </w:pPr>
      <w:r>
        <w:rPr>
          <w:sz w:val="18"/>
          <w:szCs w:val="18"/>
        </w:rPr>
        <w:t>Elaboración: Unidad Funcional de Estudios Económicos (Ministerio de Cultura, 2025)</w:t>
      </w:r>
    </w:p>
    <w:p w14:paraId="6718D0FC" w14:textId="77777777" w:rsidR="00D17B12" w:rsidRDefault="007526ED">
      <w:pPr>
        <w:pBdr>
          <w:top w:val="nil"/>
          <w:left w:val="nil"/>
          <w:bottom w:val="nil"/>
          <w:right w:val="nil"/>
          <w:between w:val="nil"/>
        </w:pBdr>
        <w:spacing w:before="240" w:line="240" w:lineRule="auto"/>
        <w:jc w:val="both"/>
      </w:pPr>
      <w:r>
        <w:t>En ese marco, los estímulos económicos constituyen una herramienta clave dentro de la estrategia de la PNC para fortalecer el ecosistema cultural, especialmente en el ámbito cinematográfico y audiovisual. La continuidad de estos incentivos económicos a lo largo de los años, presente también en la Ley N.° 32309, así como el incremento progresivo del presupuesto reflejan un compromiso sostenido por parte de la ciudadanía, el sector cinematográfico y audiovisual, así como del Ministerio de Cultura para impulsar el fomento a la creación, la diversidad y el acceso a las expresiones culturales en el país.</w:t>
      </w:r>
    </w:p>
    <w:p w14:paraId="3E162F69" w14:textId="77777777" w:rsidR="00D17B12" w:rsidRDefault="007526ED">
      <w:pPr>
        <w:pBdr>
          <w:top w:val="nil"/>
          <w:left w:val="nil"/>
          <w:bottom w:val="nil"/>
          <w:right w:val="nil"/>
          <w:between w:val="nil"/>
        </w:pBdr>
        <w:spacing w:before="240" w:line="240" w:lineRule="auto"/>
        <w:jc w:val="both"/>
      </w:pPr>
      <w:r>
        <w:lastRenderedPageBreak/>
        <w:t xml:space="preserve">A pesar de los avances alcanzados, aún persisten diversas falencias en el desarrollo de la actividad cinematográfica y audiovisual en el país. Como lo señala el Ministerio de Cultura en el </w:t>
      </w:r>
      <w:r>
        <w:rPr>
          <w:i/>
          <w:iCs/>
        </w:rPr>
        <w:t>Plan de Estímulos Económicos para el Fomento de la Actividad Cinematográfica y Audiovisual 2025</w:t>
      </w:r>
      <w:r>
        <w:t>, estas deficiencias se explican principalmente por tres factores</w:t>
      </w:r>
      <w:r>
        <w:rPr>
          <w:vertAlign w:val="superscript"/>
        </w:rPr>
        <w:footnoteReference w:id="31"/>
      </w:r>
      <w:r>
        <w:t xml:space="preserve">: </w:t>
      </w:r>
    </w:p>
    <w:p w14:paraId="7425A89B" w14:textId="77777777" w:rsidR="00D17B12" w:rsidRDefault="007526ED">
      <w:pPr>
        <w:pBdr>
          <w:top w:val="nil"/>
          <w:left w:val="nil"/>
          <w:bottom w:val="nil"/>
          <w:right w:val="nil"/>
          <w:between w:val="nil"/>
        </w:pBdr>
        <w:spacing w:before="240" w:line="240" w:lineRule="auto"/>
        <w:ind w:left="426" w:hanging="425"/>
        <w:jc w:val="both"/>
      </w:pPr>
      <w:r>
        <w:t>i)</w:t>
      </w:r>
      <w:r>
        <w:tab/>
        <w:t xml:space="preserve">La limitada disponibilidad de fuentes de financiamiento para el sector cinematográfico y audiovisual peruano; </w:t>
      </w:r>
    </w:p>
    <w:p w14:paraId="63C23DDD" w14:textId="77777777" w:rsidR="00D17B12" w:rsidRDefault="007526ED">
      <w:pPr>
        <w:pBdr>
          <w:top w:val="nil"/>
          <w:left w:val="nil"/>
          <w:bottom w:val="nil"/>
          <w:right w:val="nil"/>
          <w:between w:val="nil"/>
        </w:pBdr>
        <w:spacing w:before="240" w:line="240" w:lineRule="auto"/>
        <w:ind w:left="426" w:hanging="425"/>
        <w:jc w:val="both"/>
      </w:pPr>
      <w:r>
        <w:t>ii)</w:t>
      </w:r>
      <w:r>
        <w:tab/>
        <w:t xml:space="preserve">La reducida circulación, tanto a nivel nacional como internacional, de las producciones audiovisuales peruanas; y </w:t>
      </w:r>
    </w:p>
    <w:p w14:paraId="2DCC355B" w14:textId="77777777" w:rsidR="00D17B12" w:rsidRDefault="007526ED">
      <w:pPr>
        <w:pBdr>
          <w:top w:val="nil"/>
          <w:left w:val="nil"/>
          <w:bottom w:val="nil"/>
          <w:right w:val="nil"/>
          <w:between w:val="nil"/>
        </w:pBdr>
        <w:spacing w:before="240" w:line="240" w:lineRule="auto"/>
        <w:ind w:left="426" w:hanging="425"/>
        <w:jc w:val="both"/>
      </w:pPr>
      <w:r>
        <w:t>iii)</w:t>
      </w:r>
      <w:r>
        <w:tab/>
        <w:t>La escasa oferta formativa accesible y descentralizada en materia de cinematografía y audiovisual.</w:t>
      </w:r>
    </w:p>
    <w:p w14:paraId="0E27B762" w14:textId="77777777" w:rsidR="00D17B12" w:rsidRDefault="007526ED">
      <w:pPr>
        <w:spacing w:before="240" w:after="240" w:line="240" w:lineRule="auto"/>
        <w:jc w:val="both"/>
      </w:pPr>
      <w:r>
        <w:t>El problema público que busca atender la Ley N.° 32309, mediante el presente reglamento que permite su implementación, se enmarca en el diagnóstico formulado por la PNC, referido al limitado ejercicio de los derechos culturales de la población, con especial énfasis en el ámbito cinematográfico y audiovisual. Este diagnóstico reconoce que amplios sectores de la ciudadanía enfrentan barreras estructurales para crear, producir, difundir y acceder a bienes y servicios culturales, lo que restringe el desarrollo pleno de sus capacidades creativas, así como de acceder y disfrutar de dichas creaciones. En esa línea, la Ley N.° 32309 y su reglamento buscan contribuir a superar dichas limitaciones, en coherencia con la problemática general identificada en el Plan de Estímulos Económicos para el Fomento de la Actividad Cinematográfica y Audiovisual 2025, que señala</w:t>
      </w:r>
      <w:r>
        <w:rPr>
          <w:b/>
          <w:bCs/>
        </w:rPr>
        <w:t xml:space="preserve"> la falta de oportunidades para la sostenibilidad del desarrollo y crecimiento del sector cinematográfico y audiovisual peruano</w:t>
      </w:r>
      <w:r>
        <w:t>. De este modo, la norma se orienta a fortalecer el ecosistema audiovisual nacional, garantizando un entorno más equitativo y sostenible para el ejercicio de los derechos culturales vinculados a la creación cinematográfica y audiovisual.</w:t>
      </w:r>
    </w:p>
    <w:p w14:paraId="24B2DD7B" w14:textId="77777777" w:rsidR="00D17B12" w:rsidRDefault="007526ED">
      <w:pPr>
        <w:spacing w:before="240" w:after="240" w:line="240" w:lineRule="auto"/>
        <w:jc w:val="both"/>
      </w:pPr>
      <w:r>
        <w:t>De manera específica, el citado Plan establece las siguientes problemáticas específicas:</w:t>
      </w:r>
    </w:p>
    <w:p w14:paraId="7CE777F8" w14:textId="77777777" w:rsidR="00D17B12" w:rsidRDefault="007526ED">
      <w:pPr>
        <w:numPr>
          <w:ilvl w:val="0"/>
          <w:numId w:val="2"/>
        </w:numPr>
        <w:spacing w:before="240" w:line="240" w:lineRule="auto"/>
        <w:jc w:val="both"/>
      </w:pPr>
      <w:r>
        <w:t xml:space="preserve">Falta de oportunidades para la actividad cinematográfica y audiovisual en las regiones del país, excepto Lima Metropolitana y Callao. </w:t>
      </w:r>
    </w:p>
    <w:p w14:paraId="56F25F73" w14:textId="77777777" w:rsidR="00D17B12" w:rsidRDefault="007526ED">
      <w:pPr>
        <w:numPr>
          <w:ilvl w:val="0"/>
          <w:numId w:val="2"/>
        </w:numPr>
        <w:spacing w:line="240" w:lineRule="auto"/>
        <w:jc w:val="both"/>
      </w:pPr>
      <w:r>
        <w:t>Baja participación de mujeres en cargos clave de la actividad cinematográfica y audiovisual peruana.</w:t>
      </w:r>
    </w:p>
    <w:p w14:paraId="2B44B072" w14:textId="77777777" w:rsidR="00D17B12" w:rsidRDefault="007526ED">
      <w:pPr>
        <w:numPr>
          <w:ilvl w:val="0"/>
          <w:numId w:val="2"/>
        </w:numPr>
        <w:spacing w:line="240" w:lineRule="auto"/>
        <w:jc w:val="both"/>
      </w:pPr>
      <w:r>
        <w:t>Falta de espacios de fortalecimiento de proyectos, como laboratorios y asesorías para consolidar los proyectos en sus fases de guion, elaboración de carpetas, etc.</w:t>
      </w:r>
    </w:p>
    <w:p w14:paraId="0531CDF3" w14:textId="77777777" w:rsidR="00D17B12" w:rsidRDefault="007526ED">
      <w:pPr>
        <w:numPr>
          <w:ilvl w:val="0"/>
          <w:numId w:val="2"/>
        </w:numPr>
        <w:spacing w:line="240" w:lineRule="auto"/>
        <w:jc w:val="both"/>
      </w:pPr>
      <w:r>
        <w:t>Falta de fuentes de financiamiento para las producciones cinematográficas que impulsen el desarrollo sostenido de la industria, promoviendo la calidad, crecimiento y competitividad de la actividad audiovisual. Falta de fomento de la actividad cultural del país a través del desarrollo y producción de obras cinematográficas peruanas de largometraje de ficción; así como, la necesidad de enriquecer cuantitativa y cualitativamente el mercado cinematográfico con una mayor y más diversa oferta de producción nacional.</w:t>
      </w:r>
    </w:p>
    <w:p w14:paraId="62B69028" w14:textId="77777777" w:rsidR="00D17B12" w:rsidRDefault="007526ED">
      <w:pPr>
        <w:numPr>
          <w:ilvl w:val="0"/>
          <w:numId w:val="2"/>
        </w:numPr>
        <w:spacing w:line="240" w:lineRule="auto"/>
        <w:jc w:val="both"/>
      </w:pPr>
      <w:r>
        <w:t xml:space="preserve">Ausencia de proyectos, obras y talentos en espacios internacionales (mercados, laboratorios, festivales, entre otros) dificultan la búsqueda de co-productores, desarrollo de proyectos, financiamiento, red de contactos internacionales, así como, visibilidad de la cinematografía peruana en el mundo, excluyéndose de la industria cinematográfica internacional. Así como pocas oportunidades de </w:t>
      </w:r>
      <w:r>
        <w:lastRenderedPageBreak/>
        <w:t>distribución, exhibición, promoción y estreno de obras cinematográficas peruanas en salas de exhibición y plataformas que obtuvieron apoyo a su realización, debido a la priorización de obras extranjeras en cartelera, y la poca promoción y difusión que existen de las obras peruanas.</w:t>
      </w:r>
    </w:p>
    <w:p w14:paraId="10C5472B" w14:textId="77777777" w:rsidR="00D17B12" w:rsidRDefault="007526ED">
      <w:pPr>
        <w:numPr>
          <w:ilvl w:val="0"/>
          <w:numId w:val="2"/>
        </w:numPr>
        <w:spacing w:line="240" w:lineRule="auto"/>
        <w:jc w:val="both"/>
      </w:pPr>
      <w:r>
        <w:t xml:space="preserve">El fomento del crecimiento de la industria cinematográfica en el país requiere de espacios de formación especializada, apreciación cinematográfica, difusión del lenguaje audiovisual, así como abordar diferentes temas que puedan aportar al desarrollo de los diferentes eslabones de la cadena de valor, creación, producción, distribución, consumo. Además, la falta de desarrollo en la formación de públicos con apreciación crítica y disfrute del cine, de manera descentralizada, se refleja en el poco consumo de la cinematografía peruana y en la concurrencia de espectadores en espacios de exhibición. </w:t>
      </w:r>
    </w:p>
    <w:p w14:paraId="7B480107" w14:textId="77777777" w:rsidR="00D17B12" w:rsidRDefault="007526ED">
      <w:pPr>
        <w:numPr>
          <w:ilvl w:val="0"/>
          <w:numId w:val="2"/>
        </w:numPr>
        <w:spacing w:line="240" w:lineRule="auto"/>
        <w:jc w:val="both"/>
      </w:pPr>
      <w:r>
        <w:t>La tarea de la preservación del patrimonio audiovisual en el país es escasa, más aún cuando no se cuenta con una Cinemateca Nacional. Desde la primera ley del cine, hace aproximadamente 30 años se ha producido una gran cantidad de largometrajes en sus diferentes géneros y formatos, los que requieren ser preservados para las futuras generaciones y fortalecer la memoria y la identidad del país.</w:t>
      </w:r>
    </w:p>
    <w:p w14:paraId="145C6387" w14:textId="77777777" w:rsidR="00D17B12" w:rsidRDefault="007526ED">
      <w:pPr>
        <w:numPr>
          <w:ilvl w:val="0"/>
          <w:numId w:val="2"/>
        </w:numPr>
        <w:spacing w:line="240" w:lineRule="auto"/>
        <w:jc w:val="both"/>
      </w:pPr>
      <w:r>
        <w:t>Los realizadores y trabajadores del audiovisual carecen de una oferta formativa técnica especializada de distintas áreas del audiovisual. A falta de una escuela pública de cine se buscan oportunidades de estudio en lugares donde la industria cinematográfica está más desarrollada y ofrece estas alternativas que desarrollan el mercado</w:t>
      </w:r>
    </w:p>
    <w:p w14:paraId="376300CB" w14:textId="77777777" w:rsidR="00D17B12" w:rsidRDefault="007526ED">
      <w:pPr>
        <w:numPr>
          <w:ilvl w:val="0"/>
          <w:numId w:val="2"/>
        </w:numPr>
        <w:spacing w:after="240" w:line="240" w:lineRule="auto"/>
        <w:jc w:val="both"/>
      </w:pPr>
      <w:r>
        <w:t xml:space="preserve">El sector cinematográfico requiere de información proveniente de procesos de investigación aplicada como insumo para mejorar las políticas públicas de fomento, evidenciar problemáticas, dificultades y reflexiones en torno a sus impactos. </w:t>
      </w:r>
    </w:p>
    <w:p w14:paraId="6C2241E9" w14:textId="77777777" w:rsidR="00D17B12" w:rsidRDefault="007526ED">
      <w:pPr>
        <w:spacing w:before="240" w:after="240" w:line="240" w:lineRule="auto"/>
        <w:jc w:val="both"/>
      </w:pPr>
      <w:r>
        <w:t xml:space="preserve">Las problemáticas identificadas en el Plan 2025 evidencian un conjunto de desafíos estructurales que afectan al crecimiento y desarrollo integral de las actividades cinematográficas y audiovisuales en el Perú. Estos desafíos se articulan principalmente en torno a la </w:t>
      </w:r>
      <w:r>
        <w:rPr>
          <w:b/>
          <w:bCs/>
        </w:rPr>
        <w:t>descentralización</w:t>
      </w:r>
      <w:r>
        <w:t xml:space="preserve">, la </w:t>
      </w:r>
      <w:r>
        <w:rPr>
          <w:b/>
          <w:bCs/>
        </w:rPr>
        <w:t>equidad de acceso</w:t>
      </w:r>
      <w:r>
        <w:t xml:space="preserve">, el </w:t>
      </w:r>
      <w:r>
        <w:rPr>
          <w:b/>
          <w:bCs/>
        </w:rPr>
        <w:t>fortalecimiento de capacidades</w:t>
      </w:r>
      <w:r>
        <w:t xml:space="preserve">, la </w:t>
      </w:r>
      <w:r>
        <w:rPr>
          <w:b/>
          <w:bCs/>
        </w:rPr>
        <w:t>sostenibilidad económica</w:t>
      </w:r>
      <w:r>
        <w:t xml:space="preserve">, la </w:t>
      </w:r>
      <w:r>
        <w:rPr>
          <w:b/>
          <w:bCs/>
        </w:rPr>
        <w:t>visibilidad internacional</w:t>
      </w:r>
      <w:r>
        <w:t xml:space="preserve">, así como la </w:t>
      </w:r>
      <w:r>
        <w:rPr>
          <w:b/>
          <w:bCs/>
        </w:rPr>
        <w:t>preservación del material cinematográfico y audiovisual.</w:t>
      </w:r>
    </w:p>
    <w:p w14:paraId="7947837F" w14:textId="77777777" w:rsidR="00D17B12" w:rsidRDefault="007526ED">
      <w:pPr>
        <w:spacing w:before="240" w:after="240" w:line="240" w:lineRule="auto"/>
        <w:jc w:val="both"/>
      </w:pPr>
      <w:r>
        <w:t>Si bien la aprobación del DU 022-2019 y su continuidad mediante la Ley N.° 32309 han permitido incrementar el presupuesto institucional anual destinado a los estímulos económicos para el sector cinematográfico y audiovisual, en comparación con lo dispuesto por su predecesora, la Ley N.° 26370, Ley de la Cinematografía Peruana, y con ello avanzar en el desarrollo de dicho sector,</w:t>
      </w:r>
      <w:r>
        <w:rPr>
          <w:b/>
          <w:bCs/>
        </w:rPr>
        <w:t xml:space="preserve"> persiste la necesidad de consolidar políticas públicas que garanticen la democratización del acceso, el fortalecimiento de la diversidad cultural y la sostenibilidad del ecosistema cinematográfico y audiovisual</w:t>
      </w:r>
      <w:r>
        <w:t>. Ello con el fin de que el sector se consolide como un motor efectivo para el ejercicio pleno de los derechos culturales en el Perú, tal como se desarrollará en el siguiente numeral del presente documento.</w:t>
      </w:r>
    </w:p>
    <w:p w14:paraId="478CA914" w14:textId="77777777" w:rsidR="00D17B12" w:rsidRDefault="007526ED">
      <w:pPr>
        <w:spacing w:before="240" w:line="240" w:lineRule="auto"/>
        <w:jc w:val="both"/>
        <w:rPr>
          <w:b/>
          <w:bCs/>
        </w:rPr>
      </w:pPr>
      <w:r>
        <w:rPr>
          <w:b/>
          <w:bCs/>
        </w:rPr>
        <w:t>5.2.</w:t>
      </w:r>
      <w:r>
        <w:rPr>
          <w:b/>
          <w:bCs/>
        </w:rPr>
        <w:tab/>
        <w:t>Análisis de la situación fáctica actual</w:t>
      </w:r>
    </w:p>
    <w:p w14:paraId="7A3F4D89" w14:textId="77777777" w:rsidR="00D17B12" w:rsidRDefault="007526ED">
      <w:pPr>
        <w:pBdr>
          <w:top w:val="nil"/>
          <w:left w:val="nil"/>
          <w:bottom w:val="nil"/>
          <w:right w:val="nil"/>
          <w:between w:val="nil"/>
        </w:pBdr>
        <w:spacing w:before="240" w:line="240" w:lineRule="auto"/>
        <w:jc w:val="both"/>
      </w:pPr>
      <w:r>
        <w:t xml:space="preserve">Casi cinco años después de la aprobación y publicación de la PNC, así como de la implementación del DU 022-2019 y la posterior promulgación de la Ley N.° 32309 —que recoge en gran medida el contenido normativo del DU 022-2019 y establece incentivos económicos y fiscales para fomentar las actividades cinematográficas y audiovisuales en el territorio nacional—, se constata que, </w:t>
      </w:r>
      <w:r>
        <w:rPr>
          <w:b/>
          <w:bCs/>
        </w:rPr>
        <w:t xml:space="preserve">si bien dichos incentivos han resultado beneficiosos y han contribuido durante los años de su implementación a la </w:t>
      </w:r>
      <w:r>
        <w:rPr>
          <w:b/>
          <w:bCs/>
        </w:rPr>
        <w:lastRenderedPageBreak/>
        <w:t>reducción de brechas, el problema público identificado persiste y continúa vigente en la actualidad</w:t>
      </w:r>
      <w:r>
        <w:t>.</w:t>
      </w:r>
    </w:p>
    <w:p w14:paraId="698E88D6" w14:textId="77777777" w:rsidR="00D17B12" w:rsidRDefault="007526ED">
      <w:pPr>
        <w:spacing w:before="240" w:line="240" w:lineRule="auto"/>
        <w:jc w:val="both"/>
      </w:pPr>
      <w:r>
        <w:t>De acuerdo con el Plan Anual para el Fomento de la Actividad Cinematográfica y Audiovisual 2025 (en adelante, el Plan 2025), persisten dos brechas principales</w:t>
      </w:r>
      <w:r>
        <w:rPr>
          <w:vertAlign w:val="superscript"/>
        </w:rPr>
        <w:footnoteReference w:id="32"/>
      </w:r>
      <w:r>
        <w:t xml:space="preserve">: </w:t>
      </w:r>
    </w:p>
    <w:p w14:paraId="1C24748D" w14:textId="77777777" w:rsidR="00D17B12" w:rsidRDefault="007526ED">
      <w:pPr>
        <w:spacing w:before="240" w:line="240" w:lineRule="auto"/>
        <w:ind w:left="1204" w:hanging="425"/>
        <w:jc w:val="both"/>
      </w:pPr>
      <w:r>
        <w:t xml:space="preserve">i)  </w:t>
      </w:r>
      <w:r>
        <w:tab/>
        <w:t>Las limitadas oportunidades de financiamiento; y,</w:t>
      </w:r>
    </w:p>
    <w:p w14:paraId="3D9813E6" w14:textId="77777777" w:rsidR="00D17B12" w:rsidRDefault="007526ED">
      <w:pPr>
        <w:spacing w:before="240" w:line="240" w:lineRule="auto"/>
        <w:ind w:left="1204" w:hanging="425"/>
        <w:jc w:val="both"/>
      </w:pPr>
      <w:r>
        <w:t xml:space="preserve">ii) </w:t>
      </w:r>
      <w:r>
        <w:tab/>
        <w:t>El elevado costo de ejecución de los proyectos del sector, tanto para personas naturales como jurídicas.</w:t>
      </w:r>
    </w:p>
    <w:p w14:paraId="0E402DC2" w14:textId="77777777" w:rsidR="00D17B12" w:rsidRDefault="007526ED">
      <w:pPr>
        <w:spacing w:before="240" w:line="240" w:lineRule="auto"/>
        <w:jc w:val="both"/>
      </w:pPr>
      <w:r>
        <w:t>Estas condiciones, de acuerdo con lo indicado en el Plan 2025, se reflejan en el bajo aunque ascendente crecimiento del sector cinematográfico y audiovisual nacional. Al cierre del 2024, la DAFO estimó que el 45,98% de las personas naturales y el 59,20% de las personas jurídicas postulantes entre el 2021 y 2024 no lograron acceder a financiamiento a través de los estímulos económicos</w:t>
      </w:r>
      <w:r>
        <w:rPr>
          <w:vertAlign w:val="superscript"/>
        </w:rPr>
        <w:footnoteReference w:id="33"/>
      </w:r>
      <w:r>
        <w:t>. Es decir, más de la mitad de los postulantes y, en consecuencia, proyectos cinematográficos y audiovisuales, quedaron sin apoyo estatal en ese periodo.</w:t>
      </w:r>
    </w:p>
    <w:p w14:paraId="4F281EBA" w14:textId="77777777" w:rsidR="00D17B12" w:rsidRDefault="007526ED">
      <w:pPr>
        <w:spacing w:before="240" w:line="240" w:lineRule="auto"/>
        <w:ind w:hanging="285"/>
        <w:jc w:val="both"/>
      </w:pPr>
      <w:r>
        <w:tab/>
        <w:t>Para el ejercicio del año 2025 se garantiza una asignación mínima de 6000 UIT al fondo de estímulos económicos para el sector (equivalente a S/ 30,9 millones), lo que permite financiar aproximadamente a 216 nuevos beneficiarios (85 personas naturales y 131 jurídicas)</w:t>
      </w:r>
      <w:r>
        <w:rPr>
          <w:vertAlign w:val="superscript"/>
        </w:rPr>
        <w:footnoteReference w:id="34"/>
      </w:r>
      <w:r>
        <w:t>. Se proyecta así una reducción parcial de la brecha de acceso al financiamiento: a 32% en personas naturales y 47,83% en personas jurídicas (porcentaje de postulantes aún sin financiamiento desde el Estado). Sin embargo, si bien es una mejora frente a 2024, entre un tercio y casi la mitad de los postulantes seguirán sin financiamiento, reflejo de que el déficit no se cierra del todo.</w:t>
      </w:r>
    </w:p>
    <w:p w14:paraId="512FA8B3" w14:textId="77777777" w:rsidR="00D17B12" w:rsidRDefault="007526ED">
      <w:pPr>
        <w:spacing w:before="240" w:after="240" w:line="240" w:lineRule="auto"/>
        <w:jc w:val="both"/>
      </w:pPr>
      <w:r>
        <w:t>De igual manera, la Entidad de Gestión de Derecho de Productores Audiovisuales (EGEDA), “a raíz de la prolífica actividad audiovisual que desempeñó el Perú durante el periodo 2016-2023”, incluyó en el informe titulado “Panorama Audiovisual Iberoamericano 2024”, un artículo sobre la producción cinematográfica en nuestro país, en el que destaca que los estímulos en el Perú se han estructurado en cinco categorías: formación, creación, producción, circulación y acceso, cubriendo toda la cadena productiva</w:t>
      </w:r>
      <w:r>
        <w:rPr>
          <w:vertAlign w:val="superscript"/>
        </w:rPr>
        <w:footnoteReference w:id="35"/>
      </w:r>
      <w:r>
        <w:t>. Entre 2018 y 2023, los proyectos de producción absorbieron el 68% de los recursos otorgados, seguidos por los relacionados con acceso a la cultura (más del 12 %)</w:t>
      </w:r>
      <w:r>
        <w:rPr>
          <w:vertAlign w:val="superscript"/>
        </w:rPr>
        <w:footnoteReference w:id="36"/>
      </w:r>
      <w:r>
        <w:t>. Esto refleja un énfasis en la producción, pero también la necesidad de equilibrar la distribución hacia áreas que fortalezcan la participación y el consumo cultural en condiciones más equitativas.</w:t>
      </w:r>
    </w:p>
    <w:p w14:paraId="2C67C0C8" w14:textId="77777777" w:rsidR="00D17B12" w:rsidRDefault="007526ED">
      <w:pPr>
        <w:spacing w:before="240" w:after="240" w:line="240" w:lineRule="auto"/>
        <w:jc w:val="both"/>
      </w:pPr>
      <w:r>
        <w:t>Con relación a la producción nacional, según datos de Comscore (2025), procesados por la DAFO, el número de estrenos y reestrenos nacionales muestra un crecimiento en ascenso, a pesar de la baja durante pandemia, consecuencia directa de la paralización de rodajes, cierres de salas, restricciones sanitarias, entre otras. El detalle se puede apreciar en el siguiente cuadro que mide la cantidad de largometrajes cinematográficos peruanos estrenados y reestrenados desde el 2016 y parte del 2025:</w:t>
      </w:r>
    </w:p>
    <w:p w14:paraId="235B85C2" w14:textId="77777777" w:rsidR="00D17B12" w:rsidRDefault="007526ED">
      <w:pPr>
        <w:spacing w:before="240" w:after="240" w:line="240" w:lineRule="auto"/>
        <w:jc w:val="center"/>
        <w:rPr>
          <w:b/>
          <w:bCs/>
        </w:rPr>
      </w:pPr>
      <w:r>
        <w:rPr>
          <w:b/>
          <w:bCs/>
        </w:rPr>
        <w:t>Cuadro 2.- Estrenos y reestrenos de largometrajes peruanos (2016-2025)</w:t>
      </w:r>
    </w:p>
    <w:p w14:paraId="092739CC" w14:textId="77777777" w:rsidR="00D17B12" w:rsidRDefault="007526ED">
      <w:pPr>
        <w:spacing w:before="240" w:after="240" w:line="240" w:lineRule="auto"/>
        <w:jc w:val="center"/>
        <w:rPr>
          <w:sz w:val="18"/>
          <w:szCs w:val="18"/>
        </w:rPr>
      </w:pPr>
      <w:r>
        <w:rPr>
          <w:noProof/>
          <w:sz w:val="20"/>
          <w:szCs w:val="20"/>
        </w:rPr>
        <w:drawing>
          <wp:inline distT="114300" distB="114300" distL="114300" distR="114300" wp14:anchorId="173D13BE" wp14:editId="1D2B0CE8">
            <wp:extent cx="4171203" cy="2799431"/>
            <wp:effectExtent l="12700" t="12700" r="12700" b="12700"/>
            <wp:docPr id="1" name="image1.png" descr="Cuadro X. Evolución de estrenos de largometrajes nacionales (2026-2025)"/>
            <wp:cNvGraphicFramePr/>
            <a:graphic xmlns:a="http://schemas.openxmlformats.org/drawingml/2006/main">
              <a:graphicData uri="http://schemas.openxmlformats.org/drawingml/2006/picture">
                <pic:pic xmlns:pic="http://schemas.openxmlformats.org/drawingml/2006/picture">
                  <pic:nvPicPr>
                    <pic:cNvPr id="0" name="image1.png" descr="Cuadro X. Evolución de estrenos de largometrajes nacionales (2026-2025)"/>
                    <pic:cNvPicPr preferRelativeResize="0"/>
                  </pic:nvPicPr>
                  <pic:blipFill>
                    <a:blip r:embed="rId7"/>
                    <a:srcRect/>
                    <a:stretch>
                      <a:fillRect/>
                    </a:stretch>
                  </pic:blipFill>
                  <pic:spPr>
                    <a:xfrm>
                      <a:off x="0" y="0"/>
                      <a:ext cx="4171203" cy="2799431"/>
                    </a:xfrm>
                    <a:prstGeom prst="rect">
                      <a:avLst/>
                    </a:prstGeom>
                    <a:ln w="12700">
                      <a:solidFill>
                        <a:srgbClr val="000000"/>
                      </a:solidFill>
                      <a:prstDash val="solid"/>
                    </a:ln>
                  </pic:spPr>
                </pic:pic>
              </a:graphicData>
            </a:graphic>
          </wp:inline>
        </w:drawing>
      </w:r>
    </w:p>
    <w:p w14:paraId="40E1042D" w14:textId="77777777" w:rsidR="00D17B12" w:rsidRDefault="007526ED">
      <w:pPr>
        <w:spacing w:before="240" w:after="240" w:line="240" w:lineRule="auto"/>
        <w:jc w:val="center"/>
      </w:pPr>
      <w:r>
        <w:rPr>
          <w:sz w:val="18"/>
          <w:szCs w:val="18"/>
        </w:rPr>
        <w:t>Fuente: IBOE – Comscore. Elaboración: DAFO (Ministerio de Cultura, 2025)</w:t>
      </w:r>
    </w:p>
    <w:p w14:paraId="136A0D9D" w14:textId="77777777" w:rsidR="00D17B12" w:rsidRDefault="007526ED">
      <w:pPr>
        <w:spacing w:before="240" w:after="240" w:line="240" w:lineRule="auto"/>
        <w:jc w:val="both"/>
      </w:pPr>
      <w:r>
        <w:t>Se advierte que, a partir de la entrada en vigencia del DU 022-2019, con el incremento del presupuesto destinado a los incentivos económicos para el sector, la cifra de estrenos nacionales va en constante crecimiento. Sin embargo, las brechas de acceso al financiamiento, la precariedad de la industria, la concentración geográfica de capacidades, así como la insuficiente articulación con políticas de internacionalización e inversión, limitan la consolidación de una cadena de valor de creación sostenible y diversa.</w:t>
      </w:r>
    </w:p>
    <w:p w14:paraId="6698FCA6" w14:textId="77777777" w:rsidR="00D17B12" w:rsidRDefault="007526ED">
      <w:pPr>
        <w:spacing w:before="240" w:after="240" w:line="240" w:lineRule="auto"/>
        <w:jc w:val="both"/>
        <w:rPr>
          <w:highlight w:val="white"/>
        </w:rPr>
      </w:pPr>
      <w:r>
        <w:rPr>
          <w:highlight w:val="white"/>
        </w:rPr>
        <w:t xml:space="preserve">En este marco, la Ley 32309, implementada a partir de la entrada en vigencia del presente reglamento, se configura como un instrumento necesario para seguir fortaleciendo los estímulos económicos, mejorar su distribución, ampliar la cobertura territorial y poblacional, y garantizar que la actividad cinematográfica y audiovisual contribuya efectivamente a la democratización del acceso, a la reducción de desigualdades culturales y al ejercicio pleno de los derechos culturales en el Perú. </w:t>
      </w:r>
    </w:p>
    <w:p w14:paraId="16216A7D" w14:textId="77777777" w:rsidR="00D17B12" w:rsidRDefault="007526ED">
      <w:pPr>
        <w:spacing w:before="240" w:after="240" w:line="240" w:lineRule="auto"/>
        <w:jc w:val="both"/>
        <w:rPr>
          <w:highlight w:val="white"/>
        </w:rPr>
      </w:pPr>
      <w:r>
        <w:rPr>
          <w:highlight w:val="white"/>
        </w:rPr>
        <w:t>Asimismo, es pertinente destacar que el fortalecimiento de las industrias culturales y creativas no solo tiene un impacto simbólico y social, sino también económico. Según la UNESCO (2022), las industrias culturales y creativas representan alrededor del 3,1% del PIB mundial y generan el 6,2% del empleo global, demostrando su relevancia como motor de desarrollo sostenible</w:t>
      </w:r>
      <w:r>
        <w:rPr>
          <w:highlight w:val="white"/>
          <w:vertAlign w:val="superscript"/>
        </w:rPr>
        <w:footnoteReference w:id="37"/>
      </w:r>
      <w:r>
        <w:rPr>
          <w:highlight w:val="white"/>
        </w:rPr>
        <w:t>. En esa medida, el Estado peruano tiene la responsabilidad de regular, promover y apoyar estas actividades a fin de crear entornos favorables para su desarrollo, garantizando que la cultura, a través de las actividades cinematográficas y audiovisuales, sea reconocida como un pilar estratégico del crecimiento inclusivo y sostenible del país.</w:t>
      </w:r>
    </w:p>
    <w:p w14:paraId="1AFEEC65" w14:textId="77777777" w:rsidR="00D17B12" w:rsidRDefault="007526ED">
      <w:pPr>
        <w:spacing w:before="240" w:line="240" w:lineRule="auto"/>
        <w:ind w:left="567" w:hanging="567"/>
        <w:jc w:val="both"/>
        <w:rPr>
          <w:b/>
          <w:bCs/>
        </w:rPr>
      </w:pPr>
      <w:r>
        <w:rPr>
          <w:b/>
          <w:bCs/>
        </w:rPr>
        <w:t>5.3.</w:t>
      </w:r>
      <w:r>
        <w:rPr>
          <w:b/>
          <w:bCs/>
        </w:rPr>
        <w:tab/>
        <w:t>Análisis sobre la necesidad, viabilidad y oportunidad del proyecto normativo</w:t>
      </w:r>
    </w:p>
    <w:p w14:paraId="40BF8DE6" w14:textId="77777777" w:rsidR="00D17B12" w:rsidRDefault="007526ED">
      <w:pPr>
        <w:numPr>
          <w:ilvl w:val="0"/>
          <w:numId w:val="6"/>
        </w:numPr>
        <w:spacing w:before="240" w:line="240" w:lineRule="auto"/>
        <w:ind w:left="567" w:hanging="567"/>
        <w:jc w:val="both"/>
        <w:rPr>
          <w:b/>
          <w:bCs/>
        </w:rPr>
      </w:pPr>
      <w:r>
        <w:rPr>
          <w:b/>
          <w:bCs/>
        </w:rPr>
        <w:t xml:space="preserve">Necesidad de aprobación </w:t>
      </w:r>
    </w:p>
    <w:p w14:paraId="0FB374AB" w14:textId="77777777" w:rsidR="00D17B12" w:rsidRDefault="007526ED">
      <w:pPr>
        <w:spacing w:before="240" w:after="240" w:line="240" w:lineRule="auto"/>
        <w:jc w:val="both"/>
        <w:rPr>
          <w:highlight w:val="white"/>
        </w:rPr>
      </w:pPr>
      <w:r>
        <w:rPr>
          <w:highlight w:val="white"/>
        </w:rPr>
        <w:t>La aprobación del presente reglamento resulta indispensable para la plena implementación de la Ley N.° 32309, la cual establece mecanismos de fomento que requieren procedimientos, condiciones, requisitos y criterios claramente definidos para su adecuada operatividad.</w:t>
      </w:r>
    </w:p>
    <w:p w14:paraId="728F7BDD" w14:textId="77777777" w:rsidR="00D17B12" w:rsidRDefault="007526ED">
      <w:pPr>
        <w:spacing w:before="240" w:after="240" w:line="240" w:lineRule="auto"/>
        <w:jc w:val="both"/>
        <w:rPr>
          <w:highlight w:val="white"/>
        </w:rPr>
      </w:pPr>
      <w:r>
        <w:rPr>
          <w:highlight w:val="white"/>
        </w:rPr>
        <w:t>En efecto, el reglamento permitirá desarrollar aspectos operativos clave de los incentivos económicos planteados en la Ley N.° 32309, tales como la ejecución de los estímulos económicos a las actividades cinematográfica y audiovisual (artículo 12 y siguientes), desde la aprobación del Plan respectivo (artículo 7), la elaboración de las bases para las líneas de estímulos económicos a ser convocados, el proceso de inscripción y reconocimiento de personas, obras, proyectos, contratos y sales de exhibición en el Registro Nacional de la Cinematografía y el Audiovisual (RENCA), la conformación transparente y especializada de los jurados evaluadores, entre otros. Sin esta norma complementaria, se mantendría un vacío regulatorio que impediría la entrada en vigencia de la Ley N.° 32309, así como su adecuada implementación.</w:t>
      </w:r>
    </w:p>
    <w:p w14:paraId="058FD2E3" w14:textId="77777777" w:rsidR="00D17B12" w:rsidRDefault="007526ED">
      <w:pPr>
        <w:spacing w:before="240" w:after="240" w:line="240" w:lineRule="auto"/>
        <w:jc w:val="both"/>
        <w:rPr>
          <w:highlight w:val="white"/>
        </w:rPr>
      </w:pPr>
      <w:r>
        <w:rPr>
          <w:highlight w:val="white"/>
        </w:rPr>
        <w:t xml:space="preserve">Asimismo, la aprobación del reglamento, al viabilizar la operatividad de la Ley N.° 32309, y los incentivos propuestos, coadyuva al cumplimiento de compromisos nacionales e internacionales asumidos por el Estado peruano. </w:t>
      </w:r>
    </w:p>
    <w:p w14:paraId="7999FCD8" w14:textId="77777777" w:rsidR="00D17B12" w:rsidRDefault="007526ED">
      <w:pPr>
        <w:spacing w:before="240" w:after="240" w:line="240" w:lineRule="auto"/>
        <w:jc w:val="both"/>
        <w:rPr>
          <w:highlight w:val="white"/>
        </w:rPr>
      </w:pPr>
      <w:r>
        <w:rPr>
          <w:highlight w:val="white"/>
        </w:rPr>
        <w:t xml:space="preserve">En el ámbito interno, contribuye al logro del Objetivo Prioritario 3 (OP3), orientado a fortalecer el desarrollo sostenible de las artes e industrias culturales y creativas. De manera específica, cumple con el lineamiento 3.2, referido a brindar incentivos económicos y no económicos a agentes culturales, negocios y proyectos culturales. </w:t>
      </w:r>
    </w:p>
    <w:p w14:paraId="2385D505" w14:textId="77777777" w:rsidR="00D17B12" w:rsidRDefault="007526ED">
      <w:pPr>
        <w:spacing w:before="240" w:after="240" w:line="240" w:lineRule="auto"/>
        <w:jc w:val="both"/>
        <w:rPr>
          <w:highlight w:val="white"/>
        </w:rPr>
      </w:pPr>
      <w:r>
        <w:rPr>
          <w:highlight w:val="white"/>
        </w:rPr>
        <w:t>Asimismo, la aprobación del presente reglamento viabiliza el cumplimiento de las obligaciones asumidas por el Estado peruano en el marco de la Convención de la UNESCO sobre la Protección y Promoción de la Diversidad de las Expresiones Culturales (2005). En ese sentido, se alinea con los objetivos de dicho instrumento internacional, orientados, entre otros, a proteger y promover la diversidad de las expresiones culturales, fomentar las condiciones necesarias para que las culturas prosperen y mantengan intercambios libres y mutuamente beneficiosos, así como a promover el respeto y la valoración de la diversidad cultural en los planos local, nacional e internacional.</w:t>
      </w:r>
    </w:p>
    <w:p w14:paraId="6049DFAE" w14:textId="77777777" w:rsidR="00D17B12" w:rsidRDefault="007526ED">
      <w:pPr>
        <w:numPr>
          <w:ilvl w:val="0"/>
          <w:numId w:val="6"/>
        </w:numPr>
        <w:spacing w:before="240" w:line="240" w:lineRule="auto"/>
        <w:ind w:left="567" w:hanging="567"/>
        <w:jc w:val="both"/>
        <w:rPr>
          <w:b/>
          <w:bCs/>
        </w:rPr>
      </w:pPr>
      <w:r>
        <w:rPr>
          <w:b/>
          <w:bCs/>
        </w:rPr>
        <w:t>Viabilidad de aprobación</w:t>
      </w:r>
    </w:p>
    <w:p w14:paraId="0D16FF44" w14:textId="77777777" w:rsidR="00D17B12" w:rsidRDefault="007526ED">
      <w:pPr>
        <w:spacing w:before="240" w:line="240" w:lineRule="auto"/>
        <w:jc w:val="both"/>
      </w:pPr>
      <w:r>
        <w:t>La aprobación del reglamento resulta jurídica, económica y técnicamente viable, conforme se desarrolla a continuación:</w:t>
      </w:r>
    </w:p>
    <w:p w14:paraId="464B7A24" w14:textId="77777777" w:rsidR="00D17B12" w:rsidRDefault="007526ED">
      <w:pPr>
        <w:spacing w:before="240" w:line="240" w:lineRule="auto"/>
        <w:jc w:val="both"/>
      </w:pPr>
      <w:r>
        <w:rPr>
          <w:b/>
          <w:bCs/>
        </w:rPr>
        <w:t>Viabilidad jurídica.-</w:t>
      </w:r>
      <w:r>
        <w:t xml:space="preserve"> El reglamento cuenta con una base jurídica sólida, pues se encuentra expresamente habilitado por la novena disposición complementaria final de la Ley N.° 32309, que encarga al Poder Ejecutivo su reglamentación. Además, conforme se ha desarrollado previamente, se alinea con el marco constitucional peruano, particularmente con el artículo 118, numeral 8, que reconoce al presidente de la República la atribución de reglamentar las leyes. Asimismo, se alinea con las competencias del Ministerio de Cultura establecidas en el artículo 4 de la Ley N.° 29565, referidas a la “gestión cultural e industrias culturales”, área programática del Ministerio.</w:t>
      </w:r>
    </w:p>
    <w:p w14:paraId="589997E2" w14:textId="77777777" w:rsidR="00D17B12" w:rsidRDefault="007526ED">
      <w:pPr>
        <w:spacing w:before="240" w:line="240" w:lineRule="auto"/>
        <w:jc w:val="both"/>
      </w:pPr>
      <w:r>
        <w:t>De igual forma, el reglamento ha sido elaborado siguiendo las disposiciones de la Ley N.° 26889, Ley Marco para la Producción y Sistematización Legislativa, y su reglamento, aprobado por Decreto Supremo N.° 007-2022-MINEDU, y respetando los principios y reglas generales para la tramitación de procedimientos administrativos establecidas en la LPAG.</w:t>
      </w:r>
    </w:p>
    <w:p w14:paraId="1764AD05" w14:textId="77777777" w:rsidR="00D17B12" w:rsidRDefault="007526ED">
      <w:pPr>
        <w:spacing w:before="240" w:line="240" w:lineRule="auto"/>
        <w:jc w:val="both"/>
      </w:pPr>
      <w:r>
        <w:rPr>
          <w:b/>
          <w:bCs/>
        </w:rPr>
        <w:t>Viabilidad económica.-</w:t>
      </w:r>
      <w:r>
        <w:t xml:space="preserve"> La misma Ley N.° 32309 pone a disposición recursos económicos para el cumplimiento del objetivo y finalidades previstas. Para el ejercicio 2025, de acuerdo con el Plan de estímulos económicos para el fomento de la actividad cinematográfica y audiovisual 2025, se destinó para la ejecución de estímulos económicos para la actividad cinematográfica y audiovisual el monto de </w:t>
      </w:r>
      <w:r>
        <w:rPr>
          <w:highlight w:val="white"/>
        </w:rPr>
        <w:t>S/ 30 900 000,00 (treinta millones novecientos mil y 00/100 Soles), de los cuales se destinaron S/ 1 545 000,00 (un millón quinientos cuarenta y cinco mil y 00/100 Soles) p</w:t>
      </w:r>
      <w:r>
        <w:t>ara gastos vinculados a la ejecución de los citados estímulos. Asimismo, el artículo 11 de la Ley N.° 32309 contempla una asignación permanente de 6,000 UIT anuales como piso presupuestal, garantizando la sostenibilidad financiera para los estímulos previstos. Finalmente, la Quinta Disposición Complementaria Final de la Ley establece que el cumplimiento de dicha norma se financia con cargo al presupuesto institucional de las entidades involucradas con la actividad cinematográfica y audiovisual, sin demandar recursos adicionales al tesoro público.</w:t>
      </w:r>
    </w:p>
    <w:p w14:paraId="0C4E4C38" w14:textId="77777777" w:rsidR="00D17B12" w:rsidRDefault="007526ED">
      <w:pPr>
        <w:spacing w:before="240" w:line="240" w:lineRule="auto"/>
        <w:jc w:val="both"/>
      </w:pPr>
      <w:r>
        <w:t>Por tanto, la aprobación del reglamento no implica costos más allá de los ya previstos, sino que constituye una herramienta para la ejecución de los recursos asignados.</w:t>
      </w:r>
    </w:p>
    <w:p w14:paraId="32CECB0C" w14:textId="77777777" w:rsidR="00D17B12" w:rsidRDefault="007526ED">
      <w:pPr>
        <w:spacing w:before="240" w:line="240" w:lineRule="auto"/>
        <w:jc w:val="both"/>
      </w:pPr>
      <w:r>
        <w:rPr>
          <w:b/>
          <w:bCs/>
        </w:rPr>
        <w:t>Viabilidad técnica.-</w:t>
      </w:r>
      <w:r>
        <w:t xml:space="preserve"> Desde el punto de vista técnico, la aprobación del reglamento resulta plenamente pertinente, ya que aprovecha la infraestructura institucional, tecnológica y administrativa existente en el Ministerio de Cultura, en particular la desarrollada en la DAFO de la DGIA.</w:t>
      </w:r>
    </w:p>
    <w:p w14:paraId="425068DF" w14:textId="77777777" w:rsidR="00D17B12" w:rsidRDefault="007526ED">
      <w:pPr>
        <w:spacing w:before="240" w:after="240" w:line="240" w:lineRule="auto"/>
        <w:jc w:val="both"/>
      </w:pPr>
      <w:r>
        <w:t>Cabe señalar que la Ley incorpora los mecanismos de incentivos económicos previamente establecidos mediante el DU 022-2019. En ese sentido, la DAFO cuenta con la experiencia acumulada en la implementación de dichos incentivos desde la entrada en vigencia de su reglamento en 2021, lo que le otorga la capacidad técnica y operativa necesaria para aplicar de manera eficaz y eficiente las disposiciones del presente reglamento.</w:t>
      </w:r>
    </w:p>
    <w:p w14:paraId="21D400DD" w14:textId="77777777" w:rsidR="00D17B12" w:rsidRDefault="007526ED">
      <w:pPr>
        <w:spacing w:before="240" w:after="240" w:line="240" w:lineRule="auto"/>
        <w:jc w:val="both"/>
        <w:rPr>
          <w:highlight w:val="white"/>
        </w:rPr>
      </w:pPr>
      <w:r>
        <w:rPr>
          <w:highlight w:val="white"/>
        </w:rPr>
        <w:t>La aprobación del reglamento presenta una alta viabilidad técnico-administrativa, ya que facilita la aprobación del Plan de estímulos económicos para el fomento de la actividad cinematográfica y audiovisual 2026. Además, permite concretar medidas orientadas a la difusión, exhibición y preservación de las obras cinematográficas y audiovisuales peruanas. Por otro lado, introduce mecanismos de control ex post, fortaleciendo la capacidad de fiscalización, seguimiento y mejora continua del sistema de fomento.</w:t>
      </w:r>
    </w:p>
    <w:p w14:paraId="5D31ED8F" w14:textId="77777777" w:rsidR="00D17B12" w:rsidRDefault="007526ED">
      <w:pPr>
        <w:spacing w:before="240" w:after="240" w:line="240" w:lineRule="auto"/>
        <w:jc w:val="both"/>
      </w:pPr>
      <w:r>
        <w:t>En consecuencia, el proyecto normativo no solo se sustenta en una estructura institucional consolidada, sino que también optimiza los procesos existentes, dotándolos de mayor claridad y previsibilidad. El reglamento se configura, por tanto, como una herramienta complementaria indispensable para desarrollar los procedimientos, requisitos, condiciones y criterios que garanticen la adecuada ejecución de los incentivos previstos en la Ley N.° 32309.</w:t>
      </w:r>
    </w:p>
    <w:p w14:paraId="5F736788" w14:textId="77777777" w:rsidR="00D17B12" w:rsidRDefault="007526ED">
      <w:pPr>
        <w:numPr>
          <w:ilvl w:val="0"/>
          <w:numId w:val="6"/>
        </w:numPr>
        <w:spacing w:before="240" w:line="240" w:lineRule="auto"/>
        <w:ind w:left="567" w:hanging="567"/>
        <w:jc w:val="both"/>
        <w:rPr>
          <w:b/>
          <w:bCs/>
        </w:rPr>
      </w:pPr>
      <w:r>
        <w:rPr>
          <w:b/>
          <w:bCs/>
        </w:rPr>
        <w:t>Oportunidad de la aprobación</w:t>
      </w:r>
    </w:p>
    <w:p w14:paraId="6957AB6A" w14:textId="77777777" w:rsidR="00D17B12" w:rsidRDefault="007526ED">
      <w:pPr>
        <w:spacing w:before="240" w:after="240" w:line="240" w:lineRule="auto"/>
        <w:jc w:val="both"/>
        <w:rPr>
          <w:highlight w:val="white"/>
        </w:rPr>
      </w:pPr>
      <w:r>
        <w:rPr>
          <w:highlight w:val="white"/>
        </w:rPr>
        <w:t>La aprobación del reglamento resulta oportuna y estratégicamente relevante, en la medida en que permitirá garantizar la implementación de los incentivos previstos en la Ley N.° 32309.</w:t>
      </w:r>
    </w:p>
    <w:p w14:paraId="6357E7A2" w14:textId="77777777" w:rsidR="00D17B12" w:rsidRDefault="007526ED">
      <w:pPr>
        <w:spacing w:before="240" w:after="240" w:line="240" w:lineRule="auto"/>
        <w:jc w:val="both"/>
      </w:pPr>
      <w:r>
        <w:rPr>
          <w:highlight w:val="white"/>
        </w:rPr>
        <w:t>Asimismo, su emisión posibilita aprovechar las lecciones aprendidas durante la aplicación del régimen anterior, fortaleciend</w:t>
      </w:r>
      <w:r>
        <w:t>o los mecanismos de ejecución, gestión y supervisión de los estímulos económicos. De igual modo, contribuye a la reactivación y consolidación del sector, mediante el impulso de la inversión privada y la dinamización de las actividades audiovisuales.</w:t>
      </w:r>
    </w:p>
    <w:p w14:paraId="3E5E21CB" w14:textId="77777777" w:rsidR="00D17B12" w:rsidRDefault="007526ED">
      <w:pPr>
        <w:spacing w:before="240" w:after="240" w:line="240" w:lineRule="auto"/>
        <w:jc w:val="both"/>
        <w:rPr>
          <w:highlight w:val="white"/>
        </w:rPr>
      </w:pPr>
      <w:r>
        <w:rPr>
          <w:highlight w:val="white"/>
        </w:rPr>
        <w:t>Además, la aprobación del reglamento representa una oportunidad para posicionar al Perú en el ámbito regional e internacional como un país que promueve activamente la inversión y el desarrollo sostenible en el sector cinematográfico y audiovisual.</w:t>
      </w:r>
    </w:p>
    <w:p w14:paraId="3C4350D2" w14:textId="77777777" w:rsidR="00D17B12" w:rsidRDefault="007526ED">
      <w:pPr>
        <w:spacing w:before="240" w:after="240" w:line="240" w:lineRule="auto"/>
        <w:jc w:val="both"/>
        <w:rPr>
          <w:highlight w:val="white"/>
        </w:rPr>
      </w:pPr>
      <w:r>
        <w:rPr>
          <w:highlight w:val="white"/>
        </w:rPr>
        <w:t>En suma, la aprobación del presente reglamento resulta oportuna, conforme se sustenta en los siguientes aspectos:</w:t>
      </w:r>
    </w:p>
    <w:p w14:paraId="7D806D97" w14:textId="77777777" w:rsidR="00D17B12" w:rsidRDefault="007526ED">
      <w:pPr>
        <w:spacing w:before="240" w:after="240" w:line="240" w:lineRule="auto"/>
        <w:ind w:left="1204" w:hanging="425"/>
        <w:jc w:val="both"/>
      </w:pPr>
      <w:r>
        <w:rPr>
          <w:highlight w:val="white"/>
        </w:rPr>
        <w:t xml:space="preserve">i) </w:t>
      </w:r>
      <w:r>
        <w:rPr>
          <w:highlight w:val="white"/>
        </w:rPr>
        <w:tab/>
      </w:r>
      <w:r>
        <w:rPr>
          <w:i/>
          <w:iCs/>
          <w:highlight w:val="white"/>
        </w:rPr>
        <w:t>Sincronización con el ciclo presupuestario 2026</w:t>
      </w:r>
      <w:r>
        <w:rPr>
          <w:highlight w:val="white"/>
        </w:rPr>
        <w:t>: la Ley N.° 32309 establece incentivos para el fomento de las actividades cinematográficas y audiovisuales, los cuales requieren la aprobación previa de un reglamento para su implementación efectiva. La emi</w:t>
      </w:r>
      <w:r>
        <w:t>sión de este reglamento durante el año 2025 permitirá ejecutar los estímulos 2026 en el marco de la nueva Ley, garantizando su ejecución presupuestal desde el primer trimestre del siguiente ejercicio fiscal y asegurando la previsibilidad presupuestaria y operativa frente al sector.</w:t>
      </w:r>
    </w:p>
    <w:p w14:paraId="42F929E0" w14:textId="77777777" w:rsidR="00D17B12" w:rsidRDefault="007526ED">
      <w:pPr>
        <w:spacing w:before="240" w:after="240" w:line="240" w:lineRule="auto"/>
        <w:ind w:left="1204" w:hanging="425"/>
        <w:jc w:val="both"/>
      </w:pPr>
      <w:r>
        <w:t xml:space="preserve">ii) </w:t>
      </w:r>
      <w:r>
        <w:tab/>
      </w:r>
      <w:r>
        <w:rPr>
          <w:i/>
          <w:iCs/>
        </w:rPr>
        <w:t>Aprovechamiento estratégico de la experiencia del DU 022-2019 y su reglamento</w:t>
      </w:r>
      <w:r>
        <w:t>: tras cinco años de vigencia del DU 022-2019, el Ministerio de Cultura, a través de la DAFO cuenta con evidencia suficiente para identificar las fortalezas y debilidades de su aplicación. Ello permite incorporar las lecciones aprendidas en la formulación del reglamento de la Ley N.° 32309, que da continuidad al marco de regulación de los incentivos económicos para las actividades cinematográficas y audiovisuales.</w:t>
      </w:r>
    </w:p>
    <w:p w14:paraId="6BC83F21" w14:textId="77777777" w:rsidR="00D17B12" w:rsidRDefault="007526ED">
      <w:pPr>
        <w:spacing w:before="240" w:after="240" w:line="240" w:lineRule="auto"/>
        <w:ind w:left="1204" w:hanging="425"/>
        <w:jc w:val="both"/>
      </w:pPr>
      <w:r>
        <w:t xml:space="preserve">iii) </w:t>
      </w:r>
      <w:r>
        <w:tab/>
      </w:r>
      <w:r>
        <w:rPr>
          <w:i/>
          <w:iCs/>
        </w:rPr>
        <w:t>Alineamiento con compromisos nacionales e internacionales</w:t>
      </w:r>
      <w:r>
        <w:t>: la aprobación del reglamento permite dar cumplimiento inmediato a los compromisos asumidos por el Estado peruano en materia cultural, entre los cuales destacan:</w:t>
      </w:r>
    </w:p>
    <w:p w14:paraId="7C2ABD23" w14:textId="77777777" w:rsidR="00D17B12" w:rsidRDefault="007526ED">
      <w:pPr>
        <w:numPr>
          <w:ilvl w:val="0"/>
          <w:numId w:val="17"/>
        </w:numPr>
        <w:spacing w:before="240" w:line="240" w:lineRule="auto"/>
        <w:ind w:left="1924" w:hanging="425"/>
        <w:jc w:val="both"/>
      </w:pPr>
      <w:r>
        <w:t xml:space="preserve">El </w:t>
      </w:r>
      <w:r>
        <w:rPr>
          <w:i/>
          <w:iCs/>
        </w:rPr>
        <w:t>Lineamiento 3.2</w:t>
      </w:r>
      <w:r>
        <w:t xml:space="preserve"> del </w:t>
      </w:r>
      <w:r>
        <w:rPr>
          <w:i/>
          <w:iCs/>
        </w:rPr>
        <w:t>Objetivo Prioritario 3</w:t>
      </w:r>
      <w:r>
        <w:t xml:space="preserve"> de la Política Nacional de Cultura al 2030, referido al otorgamiento de incentivos económicos y no económicos a agentes culturales, negocios y proyectos culturales.</w:t>
      </w:r>
      <w:r>
        <w:br/>
      </w:r>
    </w:p>
    <w:p w14:paraId="0EA6D424" w14:textId="77777777" w:rsidR="00D17B12" w:rsidRDefault="007526ED">
      <w:pPr>
        <w:numPr>
          <w:ilvl w:val="0"/>
          <w:numId w:val="17"/>
        </w:numPr>
        <w:spacing w:after="240" w:line="240" w:lineRule="auto"/>
        <w:ind w:left="1924" w:hanging="425"/>
        <w:jc w:val="both"/>
      </w:pPr>
      <w:r>
        <w:t>La Convención de la UNESCO sobre la Protección y Promoción de la Diversidad de las Expresiones Culturales (2005).</w:t>
      </w:r>
    </w:p>
    <w:p w14:paraId="31251643" w14:textId="77777777" w:rsidR="00D17B12" w:rsidRDefault="007526ED">
      <w:pPr>
        <w:spacing w:before="240" w:after="240" w:line="240" w:lineRule="auto"/>
        <w:ind w:left="1204"/>
        <w:jc w:val="both"/>
        <w:rPr>
          <w:b/>
          <w:bCs/>
        </w:rPr>
      </w:pPr>
      <w:r>
        <w:t>Esta coherencia normativa refuerza la imagen del Perú como un país confiable, responsable y comprometido con la promoción de las industrias culturales y creativas.</w:t>
      </w:r>
    </w:p>
    <w:p w14:paraId="76D3D01E" w14:textId="77777777" w:rsidR="00D17B12" w:rsidRDefault="00D17B12">
      <w:pPr>
        <w:spacing w:line="240" w:lineRule="auto"/>
        <w:jc w:val="both"/>
      </w:pPr>
    </w:p>
    <w:p w14:paraId="36E40F8D" w14:textId="77777777" w:rsidR="00D17B12" w:rsidRDefault="007526ED">
      <w:pPr>
        <w:spacing w:line="240" w:lineRule="auto"/>
        <w:ind w:left="567" w:hanging="567"/>
        <w:jc w:val="both"/>
        <w:rPr>
          <w:b/>
          <w:bCs/>
        </w:rPr>
      </w:pPr>
      <w:r>
        <w:rPr>
          <w:b/>
          <w:bCs/>
        </w:rPr>
        <w:t>5.4.</w:t>
      </w:r>
      <w:r>
        <w:rPr>
          <w:b/>
          <w:bCs/>
        </w:rPr>
        <w:tab/>
        <w:t xml:space="preserve">Nuevo estado que genera la aprobación del reglamento </w:t>
      </w:r>
    </w:p>
    <w:p w14:paraId="6635696A" w14:textId="77777777" w:rsidR="00D17B12" w:rsidRDefault="007526ED">
      <w:pPr>
        <w:spacing w:before="240" w:after="240" w:line="240" w:lineRule="auto"/>
        <w:jc w:val="both"/>
        <w:rPr>
          <w:highlight w:val="white"/>
        </w:rPr>
      </w:pPr>
      <w:r>
        <w:rPr>
          <w:highlight w:val="white"/>
        </w:rPr>
        <w:t>La aprobación del presente reglamento genera un nuevo marco normativo nacional, al poner en plena vigencia la Ley N.° 32309 y dar inicio a una nueva etapa regulatoria en el ámbito de la actividad cinematográfica y audiovisual en el Perú.</w:t>
      </w:r>
    </w:p>
    <w:p w14:paraId="2A19F581" w14:textId="77777777" w:rsidR="00D17B12" w:rsidRDefault="007526ED">
      <w:pPr>
        <w:spacing w:before="240" w:after="240" w:line="240" w:lineRule="auto"/>
        <w:jc w:val="both"/>
        <w:rPr>
          <w:highlight w:val="white"/>
        </w:rPr>
      </w:pPr>
      <w:r>
        <w:rPr>
          <w:highlight w:val="white"/>
        </w:rPr>
        <w:t>Como se ha señalado, el reglamento tiene por finalidad establecer los procedimientos, condiciones, requisitos y criterios necesarios para la adecuada implementación de la Ley N.° 32309, cuyo objeto es promover las actividades cinematográficas y audiovisuales mediante incentivos económicos y fiscales. Dichos mecanismos buscan contribuir al desarrollo sostenible e inclusivo del sector en el Perú, así como fortalecer la diversidad de expresiones culturales en el territorio nacional.</w:t>
      </w:r>
    </w:p>
    <w:p w14:paraId="40EC2237" w14:textId="77777777" w:rsidR="00D17B12" w:rsidRDefault="007526ED">
      <w:pPr>
        <w:spacing w:before="240" w:after="240" w:line="240" w:lineRule="auto"/>
        <w:jc w:val="both"/>
        <w:rPr>
          <w:highlight w:val="white"/>
        </w:rPr>
      </w:pPr>
      <w:r>
        <w:rPr>
          <w:highlight w:val="white"/>
        </w:rPr>
        <w:t>De esta manera, el presente reglamento consolida un marco jurídico integral y articulado que da continuidad al proceso iniciado con el DU 022-2019 y su reglamentación, orientado a garantizar el ejercicio efectivo de los derechos culturales a través del fomento de las actividades cinematográficas y audiovisuales en el país.</w:t>
      </w:r>
    </w:p>
    <w:p w14:paraId="3DE97557" w14:textId="77777777" w:rsidR="00D17B12" w:rsidRDefault="007526ED">
      <w:pPr>
        <w:spacing w:before="240" w:after="240" w:line="240" w:lineRule="auto"/>
        <w:jc w:val="both"/>
        <w:rPr>
          <w:highlight w:val="white"/>
        </w:rPr>
      </w:pPr>
      <w:r>
        <w:rPr>
          <w:highlight w:val="white"/>
        </w:rPr>
        <w:t>Cabe tener en cuenta que la Ley N.° 32309, en su artículo 6, establece que el fomento de las actividades cinematográficas y audiovisuales debe ser descentralizado, inclusivo y sostenible; en ese sentido, su reglamento otorga operatividad a este mandato legal mediante mecanismos específicos que orientan la aplicación de los recursos y los procesos hacia dicho fin.</w:t>
      </w:r>
    </w:p>
    <w:p w14:paraId="404770E2" w14:textId="77777777" w:rsidR="00D17B12" w:rsidRDefault="007526ED">
      <w:pPr>
        <w:spacing w:before="240" w:after="240" w:line="240" w:lineRule="auto"/>
        <w:jc w:val="both"/>
        <w:rPr>
          <w:highlight w:val="white"/>
        </w:rPr>
      </w:pPr>
      <w:r>
        <w:rPr>
          <w:highlight w:val="white"/>
        </w:rPr>
        <w:t>Sin perjuicio de lo expuesto, es pertinente señalar que las soluciones de carácter regulatorio no constituyen el único instrumento para la implementación de políticas públicas. La aprobación del presente reglamento puede y debe complementarse con otras medidas orientadas a fortalecer la gestión del sector cinematográfico y audiovisual, así como a potenciar su desarrollo sostenible.</w:t>
      </w:r>
    </w:p>
    <w:p w14:paraId="0FC2659F" w14:textId="77777777" w:rsidR="00D17B12" w:rsidRDefault="007526ED">
      <w:pPr>
        <w:spacing w:before="240" w:after="240" w:line="240" w:lineRule="auto"/>
        <w:jc w:val="both"/>
        <w:rPr>
          <w:highlight w:val="white"/>
        </w:rPr>
      </w:pPr>
      <w:r>
        <w:rPr>
          <w:highlight w:val="white"/>
        </w:rPr>
        <w:t>En esa línea, el informe “Panorama Audiovisual Iberoamericano 2024”</w:t>
      </w:r>
      <w:r>
        <w:rPr>
          <w:highlight w:val="white"/>
          <w:vertAlign w:val="superscript"/>
        </w:rPr>
        <w:footnoteReference w:id="38"/>
      </w:r>
      <w:r>
        <w:rPr>
          <w:highlight w:val="white"/>
        </w:rPr>
        <w:t>, presenta un balance actualizado sobre la situación del sector en el Perú, destacando los avances alcanzados, pero también las limitaciones estructurales que persisten. El informe concluye:</w:t>
      </w:r>
    </w:p>
    <w:p w14:paraId="2FC13E3C" w14:textId="77777777" w:rsidR="00D17B12" w:rsidRDefault="007526ED">
      <w:pPr>
        <w:spacing w:before="240" w:after="240" w:line="240" w:lineRule="auto"/>
        <w:ind w:left="720"/>
        <w:jc w:val="both"/>
        <w:rPr>
          <w:highlight w:val="white"/>
        </w:rPr>
      </w:pPr>
      <w:r>
        <w:rPr>
          <w:highlight w:val="white"/>
        </w:rPr>
        <w:t>“Como se puede apreciar, el crecimiento del cine peruano ha sido significativo en estos últimos años (...). Sin embargo, este sector cultural solo cuenta con incentivos concursables, siendo de vital importancia contar con otros componentes que permitan dar un salto de calidad al cine peruano, como, por ejemplo, incentivos fiscales para el sector audiovisual, obras por impuestos, creación de una comisión fílmica, creación de una escuela pública de cine, creación de una cinemateca, etc. Hay mucho camino por recorrer; pese a ello, el cine peruano se encuentra en un sitial expectante”.</w:t>
      </w:r>
    </w:p>
    <w:p w14:paraId="237D437D" w14:textId="77777777" w:rsidR="00D17B12" w:rsidRDefault="007526ED">
      <w:pPr>
        <w:spacing w:before="240" w:after="240" w:line="240" w:lineRule="auto"/>
        <w:jc w:val="both"/>
        <w:rPr>
          <w:highlight w:val="white"/>
        </w:rPr>
      </w:pPr>
      <w:r>
        <w:rPr>
          <w:highlight w:val="white"/>
        </w:rPr>
        <w:t>En este contexto, la reglamentación de la Ley N.° 32309 permite atender, de manera complementaria, varias de las necesidades identificadas en el informe y recogidas en la propia Ley. El detalle del contenido normativo del reglamento se desarrolla en el acápite VI del presente documento; sin perjuicio de ello, cabe destacar que este reglamento, además de definir el proceso de ejecución del mecanismo de estímulos económicos para la actividad cinematográfica y audiovisual, incorpora disposiciones relevantes en los siguientes aspectos:</w:t>
      </w:r>
    </w:p>
    <w:p w14:paraId="1792D506" w14:textId="77777777" w:rsidR="00D17B12" w:rsidRDefault="007526ED">
      <w:pPr>
        <w:spacing w:before="240" w:after="240" w:line="240" w:lineRule="auto"/>
        <w:ind w:left="1204" w:hanging="425"/>
        <w:jc w:val="both"/>
        <w:rPr>
          <w:highlight w:val="white"/>
        </w:rPr>
      </w:pPr>
      <w:r>
        <w:rPr>
          <w:highlight w:val="white"/>
        </w:rPr>
        <w:t>(i)</w:t>
      </w:r>
      <w:r>
        <w:rPr>
          <w:highlight w:val="white"/>
        </w:rPr>
        <w:tab/>
        <w:t xml:space="preserve">Facilita la implementación de </w:t>
      </w:r>
      <w:r>
        <w:rPr>
          <w:b/>
          <w:bCs/>
          <w:highlight w:val="white"/>
        </w:rPr>
        <w:t>incentivos fiscales para el sector cinematográfico y audiovisual</w:t>
      </w:r>
      <w:r>
        <w:rPr>
          <w:highlight w:val="white"/>
        </w:rPr>
        <w:t xml:space="preserve">, los cuales serán desarrollados por las entidades competentes del Estado. Para ello, establece las condiciones necesarias para su adecuada articulación y aplicación, incluyendo los </w:t>
      </w:r>
      <w:r>
        <w:rPr>
          <w:b/>
          <w:bCs/>
          <w:highlight w:val="white"/>
        </w:rPr>
        <w:t>beneficios tributarios asociados a las donaciones económicas destinadas a producciones nacionales</w:t>
      </w:r>
      <w:r>
        <w:rPr>
          <w:highlight w:val="white"/>
        </w:rPr>
        <w:t>.</w:t>
      </w:r>
    </w:p>
    <w:p w14:paraId="77030D03" w14:textId="77777777" w:rsidR="00D17B12" w:rsidRDefault="007526ED">
      <w:pPr>
        <w:spacing w:before="240" w:after="240" w:line="240" w:lineRule="auto"/>
        <w:ind w:left="1204" w:hanging="425"/>
        <w:jc w:val="both"/>
        <w:rPr>
          <w:highlight w:val="white"/>
        </w:rPr>
      </w:pPr>
      <w:r>
        <w:rPr>
          <w:highlight w:val="white"/>
        </w:rPr>
        <w:t>(ii)</w:t>
      </w:r>
      <w:r>
        <w:rPr>
          <w:highlight w:val="white"/>
        </w:rPr>
        <w:tab/>
        <w:t xml:space="preserve">Dispone </w:t>
      </w:r>
      <w:r>
        <w:rPr>
          <w:b/>
          <w:bCs/>
          <w:highlight w:val="white"/>
        </w:rPr>
        <w:t xml:space="preserve">acciones específicas de promoción </w:t>
      </w:r>
      <w:r>
        <w:rPr>
          <w:highlight w:val="white"/>
        </w:rPr>
        <w:t xml:space="preserve">de las producciones cinematográficas y audiovisuales realizadas en el territorio nacional, a cargo del Ministerio de Cultura dentro del ámbito de sus competencias. Asimismo, contempla </w:t>
      </w:r>
      <w:r>
        <w:rPr>
          <w:b/>
          <w:bCs/>
          <w:highlight w:val="white"/>
        </w:rPr>
        <w:t>acciones de fomento orientadas a la formación y fortalecimiento de capacidades</w:t>
      </w:r>
      <w:r>
        <w:rPr>
          <w:highlight w:val="white"/>
        </w:rPr>
        <w:t xml:space="preserve"> de los agentes del sector.</w:t>
      </w:r>
    </w:p>
    <w:p w14:paraId="4B171105" w14:textId="77777777" w:rsidR="00D17B12" w:rsidRDefault="007526ED">
      <w:pPr>
        <w:spacing w:before="240" w:after="240" w:line="240" w:lineRule="auto"/>
        <w:ind w:left="1204" w:hanging="425"/>
        <w:jc w:val="both"/>
        <w:rPr>
          <w:highlight w:val="white"/>
        </w:rPr>
      </w:pPr>
      <w:r>
        <w:rPr>
          <w:highlight w:val="white"/>
        </w:rPr>
        <w:t>(iii)</w:t>
      </w:r>
      <w:r>
        <w:rPr>
          <w:highlight w:val="white"/>
        </w:rPr>
        <w:tab/>
        <w:t xml:space="preserve">Desarrolla el </w:t>
      </w:r>
      <w:r>
        <w:rPr>
          <w:b/>
          <w:bCs/>
          <w:highlight w:val="white"/>
        </w:rPr>
        <w:t>capítulo específico sobre el archivo cinematográfico y audiovisual</w:t>
      </w:r>
      <w:r>
        <w:rPr>
          <w:highlight w:val="white"/>
        </w:rPr>
        <w:t xml:space="preserve"> establecido en la Ley N.° 32309, y precisa las funciones del Ministerio de Cultura en materia de </w:t>
      </w:r>
      <w:r>
        <w:rPr>
          <w:b/>
          <w:bCs/>
          <w:highlight w:val="white"/>
        </w:rPr>
        <w:t>preservación, conservación y puesta en valor del material cinematográfico y audiovisual</w:t>
      </w:r>
      <w:r>
        <w:rPr>
          <w:highlight w:val="white"/>
        </w:rPr>
        <w:t xml:space="preserve"> del país.</w:t>
      </w:r>
    </w:p>
    <w:p w14:paraId="4EF4BA11" w14:textId="77777777" w:rsidR="00D17B12" w:rsidRDefault="007526ED">
      <w:pPr>
        <w:spacing w:before="240" w:after="240" w:line="240" w:lineRule="auto"/>
        <w:jc w:val="both"/>
        <w:rPr>
          <w:highlight w:val="yellow"/>
        </w:rPr>
      </w:pPr>
      <w:r>
        <w:rPr>
          <w:highlight w:val="white"/>
        </w:rPr>
        <w:t>De esta manera, el reglamento de la Ley N.° 32309 consolida una política pública integral que articula incentivos económicos y fiscales, junto con acciones de formación y promoción, orientadas al fortalecimiento del sector cinematográfico y audiovisual. Asimismo, establece directrices para la preservación, conservación y puesta en valor del material cinematográfico y audiovisual del país.</w:t>
      </w:r>
    </w:p>
    <w:p w14:paraId="1D93026F" w14:textId="77777777" w:rsidR="00D17B12" w:rsidRDefault="007526ED">
      <w:pPr>
        <w:spacing w:line="240" w:lineRule="auto"/>
        <w:ind w:left="567" w:hanging="567"/>
        <w:jc w:val="both"/>
        <w:rPr>
          <w:b/>
          <w:bCs/>
          <w:highlight w:val="white"/>
        </w:rPr>
      </w:pPr>
      <w:r>
        <w:rPr>
          <w:b/>
          <w:bCs/>
          <w:highlight w:val="white"/>
        </w:rPr>
        <w:t>5.5.</w:t>
      </w:r>
      <w:r>
        <w:rPr>
          <w:b/>
          <w:bCs/>
          <w:highlight w:val="white"/>
        </w:rPr>
        <w:tab/>
        <w:t>Objetivos relacionados con el problema público identificado</w:t>
      </w:r>
    </w:p>
    <w:p w14:paraId="2BD11126" w14:textId="77777777" w:rsidR="00D17B12" w:rsidRDefault="007526ED">
      <w:pPr>
        <w:spacing w:before="240" w:after="240" w:line="240" w:lineRule="auto"/>
        <w:jc w:val="both"/>
      </w:pPr>
      <w:r>
        <w:t>Con la aprobación del reglamento de la Ley N.° 32309 se busca reducir las brechas identificadas en el numeral 5.2 de la presente exposición de motivos, las cuales constituyen los núcleos del problema público descrito en este documento.</w:t>
      </w:r>
    </w:p>
    <w:p w14:paraId="0E8BBAD2" w14:textId="77777777" w:rsidR="00D17B12" w:rsidRDefault="007526ED">
      <w:pPr>
        <w:spacing w:before="240" w:after="240" w:line="240" w:lineRule="auto"/>
        <w:jc w:val="both"/>
        <w:rPr>
          <w:highlight w:val="white"/>
        </w:rPr>
      </w:pPr>
      <w:r>
        <w:t>En el siguiente cuadro se expone de qué manera la aprobación del reglamento contribuye a superar los problemas específicos que originan y perpetúan dicho problema público, generando impactos positivos en su resolución:</w:t>
      </w:r>
    </w:p>
    <w:p w14:paraId="218ABFDD" w14:textId="77777777" w:rsidR="00D17B12" w:rsidRDefault="007526ED">
      <w:pPr>
        <w:spacing w:before="240" w:after="240" w:line="240" w:lineRule="auto"/>
        <w:jc w:val="center"/>
        <w:rPr>
          <w:sz w:val="20"/>
          <w:szCs w:val="20"/>
        </w:rPr>
      </w:pPr>
      <w:r>
        <w:rPr>
          <w:b/>
          <w:bCs/>
          <w:sz w:val="20"/>
          <w:szCs w:val="20"/>
        </w:rPr>
        <w:t>Cuadro 3.- Objetivos que se cumplen con la aprobación del reglamento de la Ley N.° 32309</w:t>
      </w:r>
    </w:p>
    <w:tbl>
      <w:tblPr>
        <w:tblStyle w:val="a0"/>
        <w:tblW w:w="9105" w:type="dxa"/>
        <w:tblInd w:w="-113"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600" w:firstRow="0" w:lastRow="0" w:firstColumn="0" w:lastColumn="0" w:noHBand="1" w:noVBand="1"/>
      </w:tblPr>
      <w:tblGrid>
        <w:gridCol w:w="600"/>
        <w:gridCol w:w="2820"/>
        <w:gridCol w:w="1920"/>
        <w:gridCol w:w="3765"/>
      </w:tblGrid>
      <w:tr w:rsidR="00D17B12" w14:paraId="65F638AD" w14:textId="77777777" w:rsidTr="00D17B12">
        <w:trPr>
          <w:trHeight w:val="884"/>
        </w:trPr>
        <w:tc>
          <w:tcPr>
            <w:tcW w:w="600" w:type="dxa"/>
            <w:tcBorders>
              <w:top w:val="single" w:sz="4" w:space="0" w:color="000000"/>
              <w:left w:val="single" w:sz="4" w:space="0" w:color="000000"/>
              <w:bottom w:val="single" w:sz="4" w:space="0" w:color="000000"/>
              <w:right w:val="single" w:sz="4" w:space="0" w:color="000000"/>
            </w:tcBorders>
            <w:shd w:val="clear" w:color="auto" w:fill="D9D9D9"/>
          </w:tcPr>
          <w:p w14:paraId="62EF5641" w14:textId="77777777" w:rsidR="00D17B12" w:rsidRDefault="00D17B12">
            <w:pPr>
              <w:jc w:val="center"/>
              <w:rPr>
                <w:b/>
                <w:bCs/>
                <w:sz w:val="20"/>
                <w:szCs w:val="20"/>
              </w:rPr>
            </w:pPr>
          </w:p>
          <w:p w14:paraId="12CCD4B5" w14:textId="77777777" w:rsidR="00D17B12" w:rsidRDefault="007526ED">
            <w:pPr>
              <w:jc w:val="center"/>
              <w:rPr>
                <w:b/>
                <w:bCs/>
                <w:sz w:val="20"/>
                <w:szCs w:val="20"/>
              </w:rPr>
            </w:pPr>
            <w:r>
              <w:rPr>
                <w:b/>
                <w:bCs/>
                <w:sz w:val="20"/>
                <w:szCs w:val="20"/>
              </w:rPr>
              <w:t>N.°</w:t>
            </w:r>
          </w:p>
        </w:tc>
        <w:tc>
          <w:tcPr>
            <w:tcW w:w="2820" w:type="dxa"/>
            <w:tcBorders>
              <w:top w:val="single" w:sz="4" w:space="0" w:color="000000"/>
              <w:left w:val="single" w:sz="4" w:space="0" w:color="000000"/>
              <w:bottom w:val="single" w:sz="4" w:space="0" w:color="000000"/>
              <w:right w:val="single" w:sz="4" w:space="0" w:color="000000"/>
            </w:tcBorders>
            <w:shd w:val="clear" w:color="auto" w:fill="D9D9D9"/>
          </w:tcPr>
          <w:p w14:paraId="5708D61B" w14:textId="77777777" w:rsidR="00D17B12" w:rsidRDefault="00D17B12">
            <w:pPr>
              <w:jc w:val="center"/>
              <w:rPr>
                <w:b/>
                <w:bCs/>
                <w:sz w:val="20"/>
                <w:szCs w:val="20"/>
              </w:rPr>
            </w:pPr>
          </w:p>
          <w:p w14:paraId="090AA60D" w14:textId="77777777" w:rsidR="00D17B12" w:rsidRDefault="007526ED">
            <w:pPr>
              <w:jc w:val="center"/>
              <w:rPr>
                <w:b/>
                <w:bCs/>
                <w:sz w:val="20"/>
                <w:szCs w:val="20"/>
              </w:rPr>
            </w:pPr>
            <w:r>
              <w:rPr>
                <w:b/>
                <w:bCs/>
                <w:sz w:val="20"/>
                <w:szCs w:val="20"/>
              </w:rPr>
              <w:t>Objetivo que se cumple con la aprobación del reglamento</w:t>
            </w:r>
          </w:p>
          <w:p w14:paraId="7890E4D6" w14:textId="77777777" w:rsidR="00D17B12" w:rsidRDefault="00D17B12">
            <w:pPr>
              <w:jc w:val="center"/>
              <w:rPr>
                <w:b/>
                <w:bCs/>
                <w:sz w:val="20"/>
                <w:szCs w:val="20"/>
              </w:rPr>
            </w:pPr>
          </w:p>
        </w:tc>
        <w:tc>
          <w:tcPr>
            <w:tcW w:w="1920" w:type="dxa"/>
            <w:tcBorders>
              <w:top w:val="single" w:sz="4" w:space="0" w:color="000000"/>
              <w:left w:val="single" w:sz="4" w:space="0" w:color="000000"/>
              <w:bottom w:val="single" w:sz="4" w:space="0" w:color="000000"/>
              <w:right w:val="single" w:sz="4" w:space="0" w:color="000000"/>
            </w:tcBorders>
            <w:shd w:val="clear" w:color="auto" w:fill="D9D9D9"/>
          </w:tcPr>
          <w:p w14:paraId="69A7D4B5" w14:textId="77777777" w:rsidR="00D17B12" w:rsidRDefault="00D17B12">
            <w:pPr>
              <w:jc w:val="center"/>
              <w:rPr>
                <w:b/>
                <w:bCs/>
                <w:sz w:val="20"/>
                <w:szCs w:val="20"/>
              </w:rPr>
            </w:pPr>
          </w:p>
          <w:p w14:paraId="66982467" w14:textId="77777777" w:rsidR="00D17B12" w:rsidRDefault="007526ED">
            <w:pPr>
              <w:jc w:val="center"/>
              <w:rPr>
                <w:b/>
                <w:bCs/>
                <w:sz w:val="20"/>
                <w:szCs w:val="20"/>
              </w:rPr>
            </w:pPr>
            <w:r>
              <w:rPr>
                <w:b/>
                <w:bCs/>
                <w:sz w:val="20"/>
                <w:szCs w:val="20"/>
              </w:rPr>
              <w:t>Problema específico que busca atender</w:t>
            </w:r>
          </w:p>
        </w:tc>
        <w:tc>
          <w:tcPr>
            <w:tcW w:w="3765" w:type="dxa"/>
            <w:tcBorders>
              <w:top w:val="single" w:sz="4" w:space="0" w:color="000000"/>
              <w:left w:val="single" w:sz="4" w:space="0" w:color="000000"/>
              <w:bottom w:val="single" w:sz="4" w:space="0" w:color="000000"/>
              <w:right w:val="single" w:sz="4" w:space="0" w:color="000000"/>
            </w:tcBorders>
            <w:shd w:val="clear" w:color="auto" w:fill="D9D9D9"/>
          </w:tcPr>
          <w:p w14:paraId="75B97EE6" w14:textId="77777777" w:rsidR="00D17B12" w:rsidRDefault="00D17B12">
            <w:pPr>
              <w:jc w:val="center"/>
              <w:rPr>
                <w:b/>
                <w:bCs/>
                <w:sz w:val="20"/>
                <w:szCs w:val="20"/>
              </w:rPr>
            </w:pPr>
          </w:p>
          <w:p w14:paraId="68462494" w14:textId="77777777" w:rsidR="00D17B12" w:rsidRDefault="007526ED">
            <w:pPr>
              <w:jc w:val="center"/>
              <w:rPr>
                <w:b/>
                <w:bCs/>
                <w:sz w:val="20"/>
                <w:szCs w:val="20"/>
              </w:rPr>
            </w:pPr>
            <w:r>
              <w:rPr>
                <w:b/>
                <w:bCs/>
                <w:sz w:val="20"/>
                <w:szCs w:val="20"/>
              </w:rPr>
              <w:t>Aporte del reglamento vinculado al problema específico/Impacto positivo en su resolución</w:t>
            </w:r>
          </w:p>
        </w:tc>
      </w:tr>
      <w:tr w:rsidR="00D17B12" w14:paraId="65A3A4F1" w14:textId="77777777" w:rsidTr="00D17B12">
        <w:trPr>
          <w:trHeight w:val="1665"/>
        </w:trPr>
        <w:tc>
          <w:tcPr>
            <w:tcW w:w="600" w:type="dxa"/>
            <w:tcBorders>
              <w:top w:val="single" w:sz="4" w:space="0" w:color="000000"/>
              <w:left w:val="single" w:sz="4" w:space="0" w:color="000000"/>
              <w:bottom w:val="single" w:sz="4" w:space="0" w:color="000000"/>
              <w:right w:val="single" w:sz="4" w:space="0" w:color="000000"/>
            </w:tcBorders>
          </w:tcPr>
          <w:p w14:paraId="31E928CE" w14:textId="77777777" w:rsidR="00D17B12" w:rsidRDefault="007526ED">
            <w:pPr>
              <w:jc w:val="center"/>
              <w:rPr>
                <w:sz w:val="20"/>
                <w:szCs w:val="20"/>
              </w:rPr>
            </w:pPr>
            <w:r>
              <w:rPr>
                <w:sz w:val="20"/>
                <w:szCs w:val="20"/>
              </w:rPr>
              <w:t>1</w:t>
            </w:r>
          </w:p>
        </w:tc>
        <w:tc>
          <w:tcPr>
            <w:tcW w:w="2820" w:type="dxa"/>
            <w:tcBorders>
              <w:top w:val="single" w:sz="4" w:space="0" w:color="000000"/>
              <w:left w:val="single" w:sz="4" w:space="0" w:color="000000"/>
              <w:bottom w:val="single" w:sz="4" w:space="0" w:color="000000"/>
              <w:right w:val="single" w:sz="4" w:space="0" w:color="000000"/>
            </w:tcBorders>
          </w:tcPr>
          <w:p w14:paraId="58CF2626" w14:textId="77777777" w:rsidR="00D17B12" w:rsidRDefault="007526ED">
            <w:pPr>
              <w:jc w:val="center"/>
              <w:rPr>
                <w:sz w:val="20"/>
                <w:szCs w:val="20"/>
              </w:rPr>
            </w:pPr>
            <w:r>
              <w:rPr>
                <w:sz w:val="20"/>
                <w:szCs w:val="20"/>
              </w:rPr>
              <w:t>Posicionar el Registro Nacional de la Cinematografía y el Audiovisual (RENCA) como registro administrativo único de personas, contratos, obras, proyectos y salas para acceder a beneficios y para el seguimiento estadístico del sector.</w:t>
            </w:r>
          </w:p>
        </w:tc>
        <w:tc>
          <w:tcPr>
            <w:tcW w:w="1920" w:type="dxa"/>
            <w:tcBorders>
              <w:top w:val="single" w:sz="4" w:space="0" w:color="000000"/>
              <w:left w:val="single" w:sz="4" w:space="0" w:color="000000"/>
              <w:bottom w:val="single" w:sz="4" w:space="0" w:color="000000"/>
              <w:right w:val="single" w:sz="4" w:space="0" w:color="000000"/>
            </w:tcBorders>
          </w:tcPr>
          <w:p w14:paraId="1DF76C4E" w14:textId="77777777" w:rsidR="00D17B12" w:rsidRDefault="007526ED">
            <w:pPr>
              <w:jc w:val="center"/>
              <w:rPr>
                <w:sz w:val="20"/>
                <w:szCs w:val="20"/>
              </w:rPr>
            </w:pPr>
            <w:r>
              <w:rPr>
                <w:sz w:val="20"/>
                <w:szCs w:val="20"/>
              </w:rPr>
              <w:t>Centralización en Lima Metropolitana y el Callao</w:t>
            </w:r>
          </w:p>
          <w:p w14:paraId="3802A069" w14:textId="77777777" w:rsidR="00D17B12" w:rsidRDefault="00D17B12">
            <w:pPr>
              <w:jc w:val="center"/>
              <w:rPr>
                <w:sz w:val="20"/>
                <w:szCs w:val="20"/>
              </w:rPr>
            </w:pPr>
          </w:p>
          <w:p w14:paraId="57D0BF33" w14:textId="77777777" w:rsidR="00D17B12" w:rsidRDefault="00D17B12">
            <w:pPr>
              <w:jc w:val="center"/>
              <w:rPr>
                <w:sz w:val="20"/>
                <w:szCs w:val="20"/>
              </w:rPr>
            </w:pPr>
          </w:p>
        </w:tc>
        <w:tc>
          <w:tcPr>
            <w:tcW w:w="3765" w:type="dxa"/>
            <w:tcBorders>
              <w:top w:val="single" w:sz="4" w:space="0" w:color="000000"/>
              <w:left w:val="single" w:sz="4" w:space="0" w:color="000000"/>
              <w:bottom w:val="single" w:sz="4" w:space="0" w:color="000000"/>
              <w:right w:val="single" w:sz="4" w:space="0" w:color="000000"/>
            </w:tcBorders>
          </w:tcPr>
          <w:p w14:paraId="7E43E64F" w14:textId="77777777" w:rsidR="00D17B12" w:rsidRDefault="007526ED">
            <w:pPr>
              <w:jc w:val="center"/>
              <w:rPr>
                <w:sz w:val="20"/>
                <w:szCs w:val="20"/>
              </w:rPr>
            </w:pPr>
            <w:r>
              <w:rPr>
                <w:sz w:val="20"/>
                <w:szCs w:val="20"/>
              </w:rPr>
              <w:t>Genera información sectorial desagregada por región, indispensables para planificar incentivos fuera de Lima Metropolitana y el Callao.</w:t>
            </w:r>
          </w:p>
          <w:p w14:paraId="0DE75C4A" w14:textId="77777777" w:rsidR="00D17B12" w:rsidRDefault="00D17B12">
            <w:pPr>
              <w:jc w:val="center"/>
              <w:rPr>
                <w:sz w:val="20"/>
                <w:szCs w:val="20"/>
              </w:rPr>
            </w:pPr>
          </w:p>
          <w:p w14:paraId="7FCC3275" w14:textId="77777777" w:rsidR="00D17B12" w:rsidRDefault="007526ED">
            <w:pPr>
              <w:jc w:val="center"/>
              <w:rPr>
                <w:sz w:val="20"/>
                <w:szCs w:val="20"/>
              </w:rPr>
            </w:pPr>
            <w:r>
              <w:rPr>
                <w:sz w:val="20"/>
                <w:szCs w:val="20"/>
              </w:rPr>
              <w:t>Además, favorece la sistematización y trazabilidad de los agentes del sector cinematográfico y audiovisual, así como el acceso a los beneficios de la Ley N.° 32309 para dicho sector.</w:t>
            </w:r>
          </w:p>
          <w:p w14:paraId="57B8BFD1" w14:textId="77777777" w:rsidR="00D17B12" w:rsidRDefault="00D17B12">
            <w:pPr>
              <w:jc w:val="center"/>
              <w:rPr>
                <w:sz w:val="20"/>
                <w:szCs w:val="20"/>
              </w:rPr>
            </w:pPr>
          </w:p>
        </w:tc>
      </w:tr>
      <w:tr w:rsidR="00D17B12" w14:paraId="16146CC4" w14:textId="77777777" w:rsidTr="00D17B12">
        <w:trPr>
          <w:trHeight w:val="1035"/>
        </w:trPr>
        <w:tc>
          <w:tcPr>
            <w:tcW w:w="600" w:type="dxa"/>
            <w:tcBorders>
              <w:top w:val="single" w:sz="4" w:space="0" w:color="000000"/>
              <w:left w:val="single" w:sz="4" w:space="0" w:color="000000"/>
              <w:bottom w:val="single" w:sz="4" w:space="0" w:color="000000"/>
              <w:right w:val="single" w:sz="4" w:space="0" w:color="000000"/>
            </w:tcBorders>
          </w:tcPr>
          <w:p w14:paraId="51FBA098" w14:textId="77777777" w:rsidR="00D17B12" w:rsidRDefault="007526ED">
            <w:pPr>
              <w:jc w:val="center"/>
              <w:rPr>
                <w:sz w:val="20"/>
                <w:szCs w:val="20"/>
              </w:rPr>
            </w:pPr>
            <w:r>
              <w:rPr>
                <w:sz w:val="20"/>
                <w:szCs w:val="20"/>
              </w:rPr>
              <w:t>2</w:t>
            </w:r>
          </w:p>
        </w:tc>
        <w:tc>
          <w:tcPr>
            <w:tcW w:w="2820" w:type="dxa"/>
            <w:tcBorders>
              <w:top w:val="single" w:sz="4" w:space="0" w:color="000000"/>
              <w:left w:val="single" w:sz="4" w:space="0" w:color="000000"/>
              <w:bottom w:val="single" w:sz="4" w:space="0" w:color="000000"/>
              <w:right w:val="single" w:sz="4" w:space="0" w:color="000000"/>
            </w:tcBorders>
          </w:tcPr>
          <w:p w14:paraId="3D4CC867" w14:textId="77777777" w:rsidR="00D17B12" w:rsidRDefault="007526ED">
            <w:pPr>
              <w:jc w:val="center"/>
              <w:rPr>
                <w:sz w:val="20"/>
                <w:szCs w:val="20"/>
              </w:rPr>
            </w:pPr>
            <w:r>
              <w:rPr>
                <w:sz w:val="20"/>
                <w:szCs w:val="20"/>
              </w:rPr>
              <w:t>Establecer los procedimientos, requisitos, condiciones y criterios para el otorgamiento de los estímulos económicos.</w:t>
            </w:r>
          </w:p>
        </w:tc>
        <w:tc>
          <w:tcPr>
            <w:tcW w:w="1920" w:type="dxa"/>
            <w:tcBorders>
              <w:top w:val="single" w:sz="4" w:space="0" w:color="000000"/>
              <w:left w:val="single" w:sz="4" w:space="0" w:color="000000"/>
              <w:bottom w:val="single" w:sz="4" w:space="0" w:color="000000"/>
              <w:right w:val="single" w:sz="4" w:space="0" w:color="000000"/>
            </w:tcBorders>
          </w:tcPr>
          <w:p w14:paraId="45B0E172" w14:textId="77777777" w:rsidR="00D17B12" w:rsidRDefault="007526ED">
            <w:pPr>
              <w:jc w:val="center"/>
              <w:rPr>
                <w:sz w:val="20"/>
                <w:szCs w:val="20"/>
              </w:rPr>
            </w:pPr>
            <w:r>
              <w:rPr>
                <w:sz w:val="20"/>
                <w:szCs w:val="20"/>
              </w:rPr>
              <w:t>Brechas de financiamiento</w:t>
            </w:r>
          </w:p>
        </w:tc>
        <w:tc>
          <w:tcPr>
            <w:tcW w:w="3765" w:type="dxa"/>
            <w:tcBorders>
              <w:top w:val="single" w:sz="4" w:space="0" w:color="000000"/>
              <w:left w:val="single" w:sz="4" w:space="0" w:color="000000"/>
              <w:bottom w:val="single" w:sz="4" w:space="0" w:color="000000"/>
              <w:right w:val="single" w:sz="4" w:space="0" w:color="000000"/>
            </w:tcBorders>
          </w:tcPr>
          <w:p w14:paraId="2DC5BDF0" w14:textId="77777777" w:rsidR="00D17B12" w:rsidRDefault="007526ED">
            <w:pPr>
              <w:jc w:val="center"/>
              <w:rPr>
                <w:sz w:val="20"/>
                <w:szCs w:val="20"/>
              </w:rPr>
            </w:pPr>
            <w:r>
              <w:rPr>
                <w:sz w:val="20"/>
                <w:szCs w:val="20"/>
              </w:rPr>
              <w:t>Plantea procedimientos predictibles y reglas claras que garantizan flujos oportunos y transparentes de recursos públicos, a través de subvenciones no reembolsables a proyectos cinematográficos y audiovisuales declarados como beneficiarios a través de un proceso de selección de un jurado evaluador especializado.</w:t>
            </w:r>
          </w:p>
        </w:tc>
      </w:tr>
      <w:tr w:rsidR="00D17B12" w14:paraId="00FBCF0D" w14:textId="77777777" w:rsidTr="00D17B12">
        <w:trPr>
          <w:trHeight w:val="1230"/>
        </w:trPr>
        <w:tc>
          <w:tcPr>
            <w:tcW w:w="600" w:type="dxa"/>
            <w:tcBorders>
              <w:top w:val="single" w:sz="4" w:space="0" w:color="000000"/>
              <w:left w:val="single" w:sz="4" w:space="0" w:color="000000"/>
              <w:bottom w:val="single" w:sz="4" w:space="0" w:color="000000"/>
              <w:right w:val="single" w:sz="4" w:space="0" w:color="000000"/>
            </w:tcBorders>
          </w:tcPr>
          <w:p w14:paraId="289D671B" w14:textId="77777777" w:rsidR="00D17B12" w:rsidRDefault="007526ED">
            <w:pPr>
              <w:jc w:val="center"/>
              <w:rPr>
                <w:sz w:val="20"/>
                <w:szCs w:val="20"/>
              </w:rPr>
            </w:pPr>
            <w:r>
              <w:rPr>
                <w:sz w:val="20"/>
                <w:szCs w:val="20"/>
              </w:rPr>
              <w:t>3</w:t>
            </w:r>
          </w:p>
        </w:tc>
        <w:tc>
          <w:tcPr>
            <w:tcW w:w="2820" w:type="dxa"/>
            <w:tcBorders>
              <w:top w:val="single" w:sz="4" w:space="0" w:color="000000"/>
              <w:left w:val="single" w:sz="4" w:space="0" w:color="000000"/>
              <w:bottom w:val="single" w:sz="4" w:space="0" w:color="000000"/>
              <w:right w:val="single" w:sz="4" w:space="0" w:color="000000"/>
            </w:tcBorders>
          </w:tcPr>
          <w:p w14:paraId="398950B9" w14:textId="77777777" w:rsidR="00D17B12" w:rsidRDefault="007526ED">
            <w:pPr>
              <w:jc w:val="center"/>
              <w:rPr>
                <w:sz w:val="20"/>
                <w:szCs w:val="20"/>
              </w:rPr>
            </w:pPr>
            <w:r>
              <w:rPr>
                <w:sz w:val="20"/>
                <w:szCs w:val="20"/>
              </w:rPr>
              <w:t>Operativizar la reserva mínima del 40 % para regiones (fuera de Lima Metropolitana y Callao).</w:t>
            </w:r>
          </w:p>
        </w:tc>
        <w:tc>
          <w:tcPr>
            <w:tcW w:w="1920" w:type="dxa"/>
            <w:tcBorders>
              <w:top w:val="single" w:sz="4" w:space="0" w:color="000000"/>
              <w:left w:val="single" w:sz="4" w:space="0" w:color="000000"/>
              <w:bottom w:val="single" w:sz="4" w:space="0" w:color="000000"/>
              <w:right w:val="single" w:sz="4" w:space="0" w:color="000000"/>
            </w:tcBorders>
          </w:tcPr>
          <w:p w14:paraId="63EAA1D8" w14:textId="77777777" w:rsidR="00D17B12" w:rsidRDefault="007526ED">
            <w:pPr>
              <w:jc w:val="center"/>
              <w:rPr>
                <w:sz w:val="20"/>
                <w:szCs w:val="20"/>
              </w:rPr>
            </w:pPr>
            <w:r>
              <w:rPr>
                <w:sz w:val="20"/>
                <w:szCs w:val="20"/>
              </w:rPr>
              <w:t>Centralización en Lima Metropolitana y el Callao</w:t>
            </w:r>
          </w:p>
        </w:tc>
        <w:tc>
          <w:tcPr>
            <w:tcW w:w="3765" w:type="dxa"/>
            <w:tcBorders>
              <w:top w:val="single" w:sz="4" w:space="0" w:color="000000"/>
              <w:left w:val="single" w:sz="4" w:space="0" w:color="000000"/>
              <w:bottom w:val="single" w:sz="4" w:space="0" w:color="000000"/>
              <w:right w:val="single" w:sz="4" w:space="0" w:color="000000"/>
            </w:tcBorders>
          </w:tcPr>
          <w:p w14:paraId="3B4FD71A" w14:textId="77777777" w:rsidR="00D17B12" w:rsidRDefault="007526ED">
            <w:pPr>
              <w:jc w:val="center"/>
              <w:rPr>
                <w:sz w:val="20"/>
                <w:szCs w:val="20"/>
              </w:rPr>
            </w:pPr>
            <w:r>
              <w:rPr>
                <w:sz w:val="20"/>
                <w:szCs w:val="20"/>
              </w:rPr>
              <w:t>Descentraliza los recursos, permite que proyectos creados, pensados y desarrollados en regiones fuera de Lima Metropolitana y Callao accedan también a las subvenciones no reembolsables otorgadas mediante estímulos económicos. Además, amplía la representación, a través de la creación cinematográfica y audiovisual, de diversas culturas del país.</w:t>
            </w:r>
          </w:p>
        </w:tc>
      </w:tr>
      <w:tr w:rsidR="00D17B12" w14:paraId="5427013A" w14:textId="77777777" w:rsidTr="00D17B12">
        <w:trPr>
          <w:trHeight w:val="1260"/>
        </w:trPr>
        <w:tc>
          <w:tcPr>
            <w:tcW w:w="600" w:type="dxa"/>
            <w:tcBorders>
              <w:top w:val="single" w:sz="4" w:space="0" w:color="000000"/>
              <w:left w:val="single" w:sz="4" w:space="0" w:color="000000"/>
              <w:bottom w:val="single" w:sz="4" w:space="0" w:color="000000"/>
              <w:right w:val="single" w:sz="4" w:space="0" w:color="000000"/>
            </w:tcBorders>
          </w:tcPr>
          <w:p w14:paraId="5742C797" w14:textId="77777777" w:rsidR="00D17B12" w:rsidRDefault="007526ED">
            <w:pPr>
              <w:jc w:val="center"/>
              <w:rPr>
                <w:sz w:val="20"/>
                <w:szCs w:val="20"/>
              </w:rPr>
            </w:pPr>
            <w:r>
              <w:rPr>
                <w:sz w:val="20"/>
                <w:szCs w:val="20"/>
              </w:rPr>
              <w:t>4</w:t>
            </w:r>
          </w:p>
        </w:tc>
        <w:tc>
          <w:tcPr>
            <w:tcW w:w="2820" w:type="dxa"/>
            <w:tcBorders>
              <w:top w:val="single" w:sz="4" w:space="0" w:color="000000"/>
              <w:left w:val="single" w:sz="4" w:space="0" w:color="000000"/>
              <w:bottom w:val="single" w:sz="4" w:space="0" w:color="000000"/>
              <w:right w:val="single" w:sz="4" w:space="0" w:color="000000"/>
            </w:tcBorders>
          </w:tcPr>
          <w:p w14:paraId="37EFC998" w14:textId="77777777" w:rsidR="00D17B12" w:rsidRDefault="007526ED">
            <w:pPr>
              <w:jc w:val="center"/>
              <w:rPr>
                <w:sz w:val="20"/>
                <w:szCs w:val="20"/>
              </w:rPr>
            </w:pPr>
            <w:r>
              <w:rPr>
                <w:sz w:val="20"/>
                <w:szCs w:val="20"/>
              </w:rPr>
              <w:t>Operativizar la aprobación del Plan Anual para el Fomento de las Actividades Cinematográfica y Audiovisual en el primer trimestre del año.</w:t>
            </w:r>
          </w:p>
        </w:tc>
        <w:tc>
          <w:tcPr>
            <w:tcW w:w="1920" w:type="dxa"/>
            <w:tcBorders>
              <w:top w:val="single" w:sz="4" w:space="0" w:color="000000"/>
              <w:left w:val="single" w:sz="4" w:space="0" w:color="000000"/>
              <w:bottom w:val="single" w:sz="4" w:space="0" w:color="000000"/>
              <w:right w:val="single" w:sz="4" w:space="0" w:color="000000"/>
            </w:tcBorders>
          </w:tcPr>
          <w:p w14:paraId="05159414" w14:textId="77777777" w:rsidR="00D17B12" w:rsidRDefault="007526ED">
            <w:pPr>
              <w:jc w:val="center"/>
              <w:rPr>
                <w:sz w:val="20"/>
                <w:szCs w:val="20"/>
              </w:rPr>
            </w:pPr>
            <w:r>
              <w:rPr>
                <w:sz w:val="20"/>
                <w:szCs w:val="20"/>
              </w:rPr>
              <w:t>Brechas de financiamiento, tanto desde el Estado como desde la inversión privada</w:t>
            </w:r>
          </w:p>
        </w:tc>
        <w:tc>
          <w:tcPr>
            <w:tcW w:w="3765" w:type="dxa"/>
            <w:tcBorders>
              <w:top w:val="single" w:sz="4" w:space="0" w:color="000000"/>
              <w:left w:val="single" w:sz="4" w:space="0" w:color="000000"/>
              <w:bottom w:val="single" w:sz="4" w:space="0" w:color="000000"/>
              <w:right w:val="single" w:sz="4" w:space="0" w:color="000000"/>
            </w:tcBorders>
          </w:tcPr>
          <w:p w14:paraId="27DE7E29" w14:textId="77777777" w:rsidR="00D17B12" w:rsidRDefault="007526ED">
            <w:pPr>
              <w:jc w:val="center"/>
              <w:rPr>
                <w:sz w:val="20"/>
                <w:szCs w:val="20"/>
              </w:rPr>
            </w:pPr>
            <w:r>
              <w:rPr>
                <w:sz w:val="20"/>
                <w:szCs w:val="20"/>
              </w:rPr>
              <w:t>Brinda predictibilidad presupuestal y cronogramas claros, permitiendo que productores y posibles inversores planifiquen proyectos a largo y mediano plazo.</w:t>
            </w:r>
          </w:p>
          <w:p w14:paraId="1D9ABBE5" w14:textId="77777777" w:rsidR="00D17B12" w:rsidRDefault="007526ED">
            <w:pPr>
              <w:jc w:val="center"/>
              <w:rPr>
                <w:sz w:val="20"/>
                <w:szCs w:val="20"/>
              </w:rPr>
            </w:pPr>
            <w:r>
              <w:rPr>
                <w:sz w:val="20"/>
                <w:szCs w:val="20"/>
              </w:rPr>
              <w:t xml:space="preserve">Además, descentraliza los recursos al fijar reservas regionales y criterios de paridad. </w:t>
            </w:r>
          </w:p>
        </w:tc>
      </w:tr>
      <w:tr w:rsidR="00D17B12" w14:paraId="76714028" w14:textId="77777777" w:rsidTr="00D17B12">
        <w:trPr>
          <w:trHeight w:val="1245"/>
        </w:trPr>
        <w:tc>
          <w:tcPr>
            <w:tcW w:w="600" w:type="dxa"/>
            <w:tcBorders>
              <w:top w:val="single" w:sz="4" w:space="0" w:color="000000"/>
              <w:left w:val="single" w:sz="4" w:space="0" w:color="000000"/>
              <w:bottom w:val="single" w:sz="4" w:space="0" w:color="000000"/>
              <w:right w:val="single" w:sz="4" w:space="0" w:color="000000"/>
            </w:tcBorders>
          </w:tcPr>
          <w:p w14:paraId="77670162" w14:textId="77777777" w:rsidR="00D17B12" w:rsidRDefault="007526ED">
            <w:pPr>
              <w:jc w:val="center"/>
              <w:rPr>
                <w:sz w:val="20"/>
                <w:szCs w:val="20"/>
              </w:rPr>
            </w:pPr>
            <w:r>
              <w:rPr>
                <w:sz w:val="20"/>
                <w:szCs w:val="20"/>
              </w:rPr>
              <w:t>5</w:t>
            </w:r>
          </w:p>
        </w:tc>
        <w:tc>
          <w:tcPr>
            <w:tcW w:w="2820" w:type="dxa"/>
            <w:tcBorders>
              <w:top w:val="single" w:sz="4" w:space="0" w:color="000000"/>
              <w:left w:val="single" w:sz="4" w:space="0" w:color="000000"/>
              <w:bottom w:val="single" w:sz="4" w:space="0" w:color="000000"/>
              <w:right w:val="single" w:sz="4" w:space="0" w:color="000000"/>
            </w:tcBorders>
          </w:tcPr>
          <w:p w14:paraId="45ACFB58" w14:textId="77777777" w:rsidR="00D17B12" w:rsidRDefault="007526ED">
            <w:pPr>
              <w:jc w:val="center"/>
              <w:rPr>
                <w:sz w:val="20"/>
                <w:szCs w:val="20"/>
              </w:rPr>
            </w:pPr>
            <w:r>
              <w:rPr>
                <w:sz w:val="20"/>
                <w:szCs w:val="20"/>
              </w:rPr>
              <w:t>Incorporar criterios con enfoque de igualdad, interculturalidad y no discriminación.</w:t>
            </w:r>
          </w:p>
        </w:tc>
        <w:tc>
          <w:tcPr>
            <w:tcW w:w="1920" w:type="dxa"/>
            <w:tcBorders>
              <w:top w:val="single" w:sz="4" w:space="0" w:color="000000"/>
              <w:left w:val="single" w:sz="4" w:space="0" w:color="000000"/>
              <w:bottom w:val="single" w:sz="4" w:space="0" w:color="000000"/>
              <w:right w:val="single" w:sz="4" w:space="0" w:color="000000"/>
            </w:tcBorders>
          </w:tcPr>
          <w:p w14:paraId="18334ACB" w14:textId="77777777" w:rsidR="00D17B12" w:rsidRDefault="007526ED">
            <w:pPr>
              <w:jc w:val="center"/>
              <w:rPr>
                <w:sz w:val="20"/>
                <w:szCs w:val="20"/>
              </w:rPr>
            </w:pPr>
            <w:r>
              <w:rPr>
                <w:sz w:val="20"/>
                <w:szCs w:val="20"/>
              </w:rPr>
              <w:t>Limitada visibilidad de la producción audiovisual a nivel nacional</w:t>
            </w:r>
          </w:p>
        </w:tc>
        <w:tc>
          <w:tcPr>
            <w:tcW w:w="3765" w:type="dxa"/>
            <w:tcBorders>
              <w:top w:val="single" w:sz="4" w:space="0" w:color="000000"/>
              <w:left w:val="single" w:sz="4" w:space="0" w:color="000000"/>
              <w:bottom w:val="single" w:sz="4" w:space="0" w:color="000000"/>
              <w:right w:val="single" w:sz="4" w:space="0" w:color="000000"/>
            </w:tcBorders>
          </w:tcPr>
          <w:p w14:paraId="02C90FD6" w14:textId="77777777" w:rsidR="00D17B12" w:rsidRDefault="007526ED">
            <w:pPr>
              <w:jc w:val="center"/>
              <w:rPr>
                <w:sz w:val="20"/>
                <w:szCs w:val="20"/>
              </w:rPr>
            </w:pPr>
            <w:r>
              <w:rPr>
                <w:sz w:val="20"/>
                <w:szCs w:val="20"/>
              </w:rPr>
              <w:t>Asegura representación diversa en la toma de decisiones y promueve proyectos con equipos de regiones, mujeres y diversidades, en igualdad de condiciones.</w:t>
            </w:r>
          </w:p>
        </w:tc>
      </w:tr>
      <w:tr w:rsidR="00D17B12" w14:paraId="77F4BD6C" w14:textId="77777777" w:rsidTr="00D17B12">
        <w:trPr>
          <w:trHeight w:val="1440"/>
        </w:trPr>
        <w:tc>
          <w:tcPr>
            <w:tcW w:w="600" w:type="dxa"/>
            <w:tcBorders>
              <w:top w:val="single" w:sz="4" w:space="0" w:color="000000"/>
              <w:left w:val="single" w:sz="4" w:space="0" w:color="000000"/>
              <w:bottom w:val="single" w:sz="4" w:space="0" w:color="000000"/>
              <w:right w:val="single" w:sz="4" w:space="0" w:color="000000"/>
            </w:tcBorders>
          </w:tcPr>
          <w:p w14:paraId="71B7404F" w14:textId="77777777" w:rsidR="00D17B12" w:rsidRDefault="007526ED">
            <w:pPr>
              <w:jc w:val="center"/>
              <w:rPr>
                <w:sz w:val="20"/>
                <w:szCs w:val="20"/>
              </w:rPr>
            </w:pPr>
            <w:r>
              <w:rPr>
                <w:sz w:val="20"/>
                <w:szCs w:val="20"/>
              </w:rPr>
              <w:t>6</w:t>
            </w:r>
          </w:p>
        </w:tc>
        <w:tc>
          <w:tcPr>
            <w:tcW w:w="2820" w:type="dxa"/>
            <w:tcBorders>
              <w:top w:val="single" w:sz="4" w:space="0" w:color="000000"/>
              <w:left w:val="single" w:sz="4" w:space="0" w:color="000000"/>
              <w:bottom w:val="single" w:sz="4" w:space="0" w:color="000000"/>
              <w:right w:val="single" w:sz="4" w:space="0" w:color="000000"/>
            </w:tcBorders>
          </w:tcPr>
          <w:p w14:paraId="1E2AF855" w14:textId="77777777" w:rsidR="00D17B12" w:rsidRDefault="007526ED">
            <w:pPr>
              <w:jc w:val="center"/>
              <w:rPr>
                <w:sz w:val="20"/>
                <w:szCs w:val="20"/>
              </w:rPr>
            </w:pPr>
            <w:r>
              <w:rPr>
                <w:sz w:val="20"/>
                <w:szCs w:val="20"/>
              </w:rPr>
              <w:t>Facilitar la promoción internacional de la producción nacional de obras cinematográficas y audiovisuales</w:t>
            </w:r>
          </w:p>
        </w:tc>
        <w:tc>
          <w:tcPr>
            <w:tcW w:w="1920" w:type="dxa"/>
            <w:tcBorders>
              <w:top w:val="single" w:sz="4" w:space="0" w:color="000000"/>
              <w:left w:val="single" w:sz="4" w:space="0" w:color="000000"/>
              <w:bottom w:val="single" w:sz="4" w:space="0" w:color="000000"/>
              <w:right w:val="single" w:sz="4" w:space="0" w:color="000000"/>
            </w:tcBorders>
          </w:tcPr>
          <w:p w14:paraId="7185A26D" w14:textId="77777777" w:rsidR="00D17B12" w:rsidRDefault="007526ED">
            <w:pPr>
              <w:jc w:val="center"/>
              <w:rPr>
                <w:sz w:val="20"/>
                <w:szCs w:val="20"/>
              </w:rPr>
            </w:pPr>
            <w:r>
              <w:rPr>
                <w:sz w:val="20"/>
                <w:szCs w:val="20"/>
              </w:rPr>
              <w:t>Dificultades de circulación y visibilidad de la producción nacional</w:t>
            </w:r>
          </w:p>
        </w:tc>
        <w:tc>
          <w:tcPr>
            <w:tcW w:w="3765" w:type="dxa"/>
            <w:tcBorders>
              <w:top w:val="single" w:sz="4" w:space="0" w:color="000000"/>
              <w:left w:val="single" w:sz="4" w:space="0" w:color="000000"/>
              <w:bottom w:val="single" w:sz="4" w:space="0" w:color="000000"/>
              <w:right w:val="single" w:sz="4" w:space="0" w:color="000000"/>
            </w:tcBorders>
          </w:tcPr>
          <w:p w14:paraId="2EB52FBA" w14:textId="77777777" w:rsidR="00D17B12" w:rsidRDefault="007526ED">
            <w:pPr>
              <w:jc w:val="center"/>
              <w:rPr>
                <w:sz w:val="20"/>
                <w:szCs w:val="20"/>
              </w:rPr>
            </w:pPr>
            <w:r>
              <w:rPr>
                <w:sz w:val="20"/>
                <w:szCs w:val="20"/>
              </w:rPr>
              <w:t xml:space="preserve">Plantea acciones para promover condiciones favorables para las producciones cinematográficas y audiovisuales, tanto nacionales como extranjeras, en el Perú. Además, establece acciones de coordinación con PROMPERÚ para promover el uso de locaciones del territorio nacional para la producción de obras nacionales y extranjeras. </w:t>
            </w:r>
          </w:p>
        </w:tc>
      </w:tr>
      <w:tr w:rsidR="00D17B12" w14:paraId="439F21A0" w14:textId="77777777" w:rsidTr="00D17B12">
        <w:trPr>
          <w:trHeight w:val="1440"/>
        </w:trPr>
        <w:tc>
          <w:tcPr>
            <w:tcW w:w="600" w:type="dxa"/>
            <w:tcBorders>
              <w:top w:val="single" w:sz="4" w:space="0" w:color="000000"/>
              <w:left w:val="single" w:sz="4" w:space="0" w:color="000000"/>
              <w:bottom w:val="single" w:sz="4" w:space="0" w:color="000000"/>
              <w:right w:val="single" w:sz="4" w:space="0" w:color="000000"/>
            </w:tcBorders>
          </w:tcPr>
          <w:p w14:paraId="0313C3B0" w14:textId="77777777" w:rsidR="00D17B12" w:rsidRDefault="007526ED">
            <w:pPr>
              <w:jc w:val="center"/>
              <w:rPr>
                <w:sz w:val="20"/>
                <w:szCs w:val="20"/>
              </w:rPr>
            </w:pPr>
            <w:r>
              <w:rPr>
                <w:sz w:val="20"/>
                <w:szCs w:val="20"/>
              </w:rPr>
              <w:t>7</w:t>
            </w:r>
          </w:p>
        </w:tc>
        <w:tc>
          <w:tcPr>
            <w:tcW w:w="2820" w:type="dxa"/>
            <w:tcBorders>
              <w:top w:val="single" w:sz="4" w:space="0" w:color="000000"/>
              <w:left w:val="single" w:sz="4" w:space="0" w:color="000000"/>
              <w:bottom w:val="single" w:sz="4" w:space="0" w:color="000000"/>
              <w:right w:val="single" w:sz="4" w:space="0" w:color="000000"/>
            </w:tcBorders>
          </w:tcPr>
          <w:p w14:paraId="2846D656" w14:textId="77777777" w:rsidR="00D17B12" w:rsidRDefault="007526ED">
            <w:pPr>
              <w:jc w:val="center"/>
              <w:rPr>
                <w:sz w:val="20"/>
                <w:szCs w:val="20"/>
              </w:rPr>
            </w:pPr>
            <w:r>
              <w:rPr>
                <w:sz w:val="20"/>
                <w:szCs w:val="20"/>
              </w:rPr>
              <w:t>Establecer mecanismos de seguimiento, así como un régimen de fiscalización y sanción</w:t>
            </w:r>
          </w:p>
        </w:tc>
        <w:tc>
          <w:tcPr>
            <w:tcW w:w="1920" w:type="dxa"/>
            <w:tcBorders>
              <w:top w:val="single" w:sz="4" w:space="0" w:color="000000"/>
              <w:left w:val="single" w:sz="4" w:space="0" w:color="000000"/>
              <w:bottom w:val="single" w:sz="4" w:space="0" w:color="000000"/>
              <w:right w:val="single" w:sz="4" w:space="0" w:color="000000"/>
            </w:tcBorders>
          </w:tcPr>
          <w:p w14:paraId="409958D7" w14:textId="77777777" w:rsidR="00D17B12" w:rsidRDefault="007526ED">
            <w:pPr>
              <w:jc w:val="center"/>
              <w:rPr>
                <w:sz w:val="20"/>
                <w:szCs w:val="20"/>
                <w:highlight w:val="white"/>
              </w:rPr>
            </w:pPr>
            <w:r>
              <w:rPr>
                <w:sz w:val="20"/>
                <w:szCs w:val="20"/>
                <w:highlight w:val="white"/>
              </w:rPr>
              <w:t>Posibles incumplimientos</w:t>
            </w:r>
          </w:p>
        </w:tc>
        <w:tc>
          <w:tcPr>
            <w:tcW w:w="3765" w:type="dxa"/>
            <w:tcBorders>
              <w:top w:val="single" w:sz="4" w:space="0" w:color="000000"/>
              <w:left w:val="single" w:sz="4" w:space="0" w:color="000000"/>
              <w:bottom w:val="single" w:sz="4" w:space="0" w:color="000000"/>
              <w:right w:val="single" w:sz="4" w:space="0" w:color="000000"/>
            </w:tcBorders>
          </w:tcPr>
          <w:p w14:paraId="55F21868" w14:textId="77777777" w:rsidR="00D17B12" w:rsidRDefault="007526ED">
            <w:pPr>
              <w:jc w:val="center"/>
              <w:rPr>
                <w:sz w:val="20"/>
                <w:szCs w:val="20"/>
              </w:rPr>
            </w:pPr>
            <w:r>
              <w:rPr>
                <w:sz w:val="20"/>
                <w:szCs w:val="20"/>
              </w:rPr>
              <w:t>Implementa reportes de ejecución, medidas correctivas y sanciones en caso de incumplimiento. Fortalece la transparencia, la rendición de cuentas y la mejora continua del sistema de fomento.</w:t>
            </w:r>
          </w:p>
        </w:tc>
      </w:tr>
    </w:tbl>
    <w:p w14:paraId="4AD9DAC7" w14:textId="77777777" w:rsidR="00D17B12" w:rsidRDefault="007526ED">
      <w:pPr>
        <w:spacing w:before="240" w:after="240" w:line="240" w:lineRule="auto"/>
        <w:jc w:val="center"/>
        <w:rPr>
          <w:sz w:val="18"/>
          <w:szCs w:val="18"/>
        </w:rPr>
      </w:pPr>
      <w:r>
        <w:rPr>
          <w:sz w:val="18"/>
          <w:szCs w:val="18"/>
        </w:rPr>
        <w:t>Elaboración: DAFO (Ministerio de Cultura, 2025)</w:t>
      </w:r>
    </w:p>
    <w:p w14:paraId="22AAF476" w14:textId="77777777" w:rsidR="00D17B12" w:rsidRDefault="007526ED">
      <w:pPr>
        <w:spacing w:before="240" w:line="240" w:lineRule="auto"/>
        <w:jc w:val="both"/>
      </w:pPr>
      <w:r>
        <w:t xml:space="preserve">En suma, se puede afirmar que la aprobación del reglamento favorece en el cierre de las brechas identificadas como parte del problema público en el presente documento, convierte las disposiciones generales de la Ley N.° 32309 en disposiciones operativas concretas y, sobre todo, crea las condiciones para el pleno ejercicio de los derechos culturales vinculados a la creación, producción y acceso al cine y al audiovisual nacional.      </w:t>
      </w:r>
    </w:p>
    <w:p w14:paraId="1371297D" w14:textId="77777777" w:rsidR="00D17B12" w:rsidRDefault="007526ED">
      <w:pPr>
        <w:spacing w:before="240" w:line="240" w:lineRule="auto"/>
        <w:ind w:left="567" w:hanging="567"/>
        <w:jc w:val="both"/>
      </w:pPr>
      <w:r>
        <w:rPr>
          <w:b/>
          <w:bCs/>
        </w:rPr>
        <w:t>5.6.</w:t>
      </w:r>
      <w:r>
        <w:rPr>
          <w:b/>
          <w:bCs/>
        </w:rPr>
        <w:tab/>
        <w:t>Análisis de las opiniones sobre el proyecto normativo</w:t>
      </w:r>
    </w:p>
    <w:p w14:paraId="775152FC" w14:textId="77777777" w:rsidR="00D17B12" w:rsidRDefault="007526ED">
      <w:pPr>
        <w:spacing w:before="240" w:line="240" w:lineRule="auto"/>
        <w:jc w:val="both"/>
      </w:pPr>
      <w:r>
        <w:t>El proceso de elaboración del presente reglamento inició durante la última semana de abril de 2025, tras la promulgación y publicación de la Ley N.° 32309, y se desarrolló bajo un enfoque participativo y colaborativo, que involucró a distintas unidades orgánicas del Ministerio de Cultura, a otras entidades del Estado con competencias vinculadas a la reglamentación de la Ley N.° 32309 y a representantes del sector cinematográfico y audiovisual. Este proceso permitió recoger aportes técnicos y observaciones, mediante reuniones, sugerencias y otros mecanismos formales de participación, de acuerdo con el siguiente detalle:</w:t>
      </w:r>
    </w:p>
    <w:p w14:paraId="05E97EB1" w14:textId="77777777" w:rsidR="00D17B12" w:rsidRDefault="007526ED">
      <w:pPr>
        <w:spacing w:before="240" w:line="240" w:lineRule="auto"/>
        <w:ind w:left="567" w:hanging="567"/>
        <w:jc w:val="both"/>
        <w:rPr>
          <w:b/>
          <w:bCs/>
        </w:rPr>
      </w:pPr>
      <w:r>
        <w:rPr>
          <w:b/>
          <w:bCs/>
        </w:rPr>
        <w:t>a)</w:t>
      </w:r>
      <w:r>
        <w:rPr>
          <w:b/>
          <w:bCs/>
        </w:rPr>
        <w:tab/>
        <w:t>Reuniones con el sector cinematográfico y audiovisual</w:t>
      </w:r>
    </w:p>
    <w:p w14:paraId="69AE0A90" w14:textId="77777777" w:rsidR="00D17B12" w:rsidRDefault="007526ED">
      <w:pPr>
        <w:spacing w:before="240" w:line="240" w:lineRule="auto"/>
        <w:jc w:val="both"/>
      </w:pPr>
      <w:r>
        <w:t xml:space="preserve">Entre los meses de abril y septiembre de 2025, el Ministerio de Cultura, a través de la DAFO, realizó cuatro (04) reuniones virtuales y una (01) reunión híbrida con la participación de miembros del sector cinematográfico y audiovisual, agremiados y no agremiados. El objetivo de estos espacios fue informar sobre el proceso de reglamentación de la Ley N.° 32309, presentar los avances en cuanto a la coordinación interna e interinstitucional del mismo y recoger aportes, sugerencias y observaciones del sector. </w:t>
      </w:r>
    </w:p>
    <w:p w14:paraId="54D83457" w14:textId="77777777" w:rsidR="00D17B12" w:rsidRDefault="007526ED">
      <w:pPr>
        <w:spacing w:before="240" w:line="240" w:lineRule="auto"/>
        <w:jc w:val="both"/>
      </w:pPr>
      <w:r>
        <w:t>Asimismo, a pedido de representantes del sector cinematográfico y audiovisual, el día 12 de mayo se llevó a cabo una reunión presencial en la sede del Ministerio de Cultura, con la participación del titular del Ministerio de Cultura, la directora de la DGIA, la directora de la DAFO, y sus respectivos equipos, así como tres representantes del sector cinematográfico y audiovisual. En dicha reunión, los representantes plantearon su interés en participar activamente en el proceso de elaboración del reglamento de la Ley N.° 32309, solicitud que fue acogida favorablemente por el ministro de Cultura.</w:t>
      </w:r>
    </w:p>
    <w:p w14:paraId="055CDB61" w14:textId="77777777" w:rsidR="00D17B12" w:rsidRDefault="007526ED">
      <w:pPr>
        <w:spacing w:before="240" w:after="240" w:line="240" w:lineRule="auto"/>
        <w:jc w:val="both"/>
      </w:pPr>
      <w:r>
        <w:t>Las principales consideraciones y resultados de las reuniones virtuales sostenidas con el sector se presentan en el cuadro siguiente:</w:t>
      </w:r>
    </w:p>
    <w:p w14:paraId="5658CFAF" w14:textId="77777777" w:rsidR="00D17B12" w:rsidRDefault="007526ED">
      <w:pPr>
        <w:spacing w:before="240" w:after="240" w:line="240" w:lineRule="auto"/>
        <w:jc w:val="center"/>
        <w:rPr>
          <w:b/>
          <w:bCs/>
        </w:rPr>
      </w:pPr>
      <w:r>
        <w:rPr>
          <w:b/>
          <w:bCs/>
        </w:rPr>
        <w:t>Cuadro 4.- Reuniones de socialización con el sector cinematográfico y audiovisual Abril - Septiembre (2025)</w:t>
      </w:r>
    </w:p>
    <w:tbl>
      <w:tblPr>
        <w:tblStyle w:val="a1"/>
        <w:tblW w:w="10035" w:type="dxa"/>
        <w:jc w:val="center"/>
        <w:tblInd w:w="0"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465"/>
        <w:gridCol w:w="1560"/>
        <w:gridCol w:w="1200"/>
        <w:gridCol w:w="1695"/>
        <w:gridCol w:w="2250"/>
        <w:gridCol w:w="2865"/>
      </w:tblGrid>
      <w:tr w:rsidR="00D17B12" w14:paraId="0AD5297F" w14:textId="77777777">
        <w:trPr>
          <w:trHeight w:val="519"/>
          <w:jc w:val="center"/>
        </w:trPr>
        <w:tc>
          <w:tcPr>
            <w:tcW w:w="4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824564D" w14:textId="77777777" w:rsidR="00D17B12" w:rsidRDefault="007526ED">
            <w:pPr>
              <w:spacing w:before="240" w:after="240" w:line="240" w:lineRule="auto"/>
              <w:rPr>
                <w:sz w:val="20"/>
                <w:szCs w:val="20"/>
              </w:rPr>
            </w:pPr>
            <w:r>
              <w:rPr>
                <w:b/>
                <w:bCs/>
                <w:sz w:val="20"/>
                <w:szCs w:val="20"/>
              </w:rPr>
              <w:t>N.°</w:t>
            </w:r>
          </w:p>
        </w:tc>
        <w:tc>
          <w:tcPr>
            <w:tcW w:w="15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50F86C4" w14:textId="77777777" w:rsidR="00D17B12" w:rsidRDefault="007526ED">
            <w:pPr>
              <w:spacing w:before="240" w:after="240" w:line="240" w:lineRule="auto"/>
              <w:jc w:val="center"/>
              <w:rPr>
                <w:sz w:val="20"/>
                <w:szCs w:val="20"/>
              </w:rPr>
            </w:pPr>
            <w:r>
              <w:rPr>
                <w:b/>
                <w:bCs/>
                <w:sz w:val="20"/>
                <w:szCs w:val="20"/>
              </w:rPr>
              <w:t>Fecha</w:t>
            </w:r>
          </w:p>
        </w:tc>
        <w:tc>
          <w:tcPr>
            <w:tcW w:w="12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FB1C8ED" w14:textId="77777777" w:rsidR="00D17B12" w:rsidRDefault="007526ED">
            <w:pPr>
              <w:spacing w:before="240" w:after="240" w:line="240" w:lineRule="auto"/>
              <w:jc w:val="center"/>
              <w:rPr>
                <w:sz w:val="20"/>
                <w:szCs w:val="20"/>
              </w:rPr>
            </w:pPr>
            <w:r>
              <w:rPr>
                <w:b/>
                <w:bCs/>
                <w:sz w:val="20"/>
                <w:szCs w:val="20"/>
              </w:rPr>
              <w:t>Modalidad</w:t>
            </w:r>
          </w:p>
        </w:tc>
        <w:tc>
          <w:tcPr>
            <w:tcW w:w="16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275D6A8" w14:textId="77777777" w:rsidR="00D17B12" w:rsidRDefault="007526ED">
            <w:pPr>
              <w:spacing w:before="240" w:after="240" w:line="240" w:lineRule="auto"/>
              <w:jc w:val="center"/>
              <w:rPr>
                <w:sz w:val="20"/>
                <w:szCs w:val="20"/>
              </w:rPr>
            </w:pPr>
            <w:r>
              <w:rPr>
                <w:b/>
                <w:bCs/>
                <w:sz w:val="20"/>
                <w:szCs w:val="20"/>
              </w:rPr>
              <w:t>Participantes</w:t>
            </w:r>
          </w:p>
        </w:tc>
        <w:tc>
          <w:tcPr>
            <w:tcW w:w="22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DB8CB76" w14:textId="77777777" w:rsidR="00D17B12" w:rsidRDefault="007526ED">
            <w:pPr>
              <w:spacing w:before="240" w:after="240" w:line="240" w:lineRule="auto"/>
              <w:jc w:val="center"/>
              <w:rPr>
                <w:sz w:val="20"/>
                <w:szCs w:val="20"/>
              </w:rPr>
            </w:pPr>
            <w:r>
              <w:rPr>
                <w:b/>
                <w:bCs/>
                <w:sz w:val="20"/>
                <w:szCs w:val="20"/>
              </w:rPr>
              <w:t>Principales temas abordados</w:t>
            </w:r>
          </w:p>
        </w:tc>
        <w:tc>
          <w:tcPr>
            <w:tcW w:w="28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562654D" w14:textId="77777777" w:rsidR="00D17B12" w:rsidRDefault="007526ED">
            <w:pPr>
              <w:spacing w:before="240" w:after="240" w:line="240" w:lineRule="auto"/>
              <w:jc w:val="center"/>
              <w:rPr>
                <w:sz w:val="20"/>
                <w:szCs w:val="20"/>
              </w:rPr>
            </w:pPr>
            <w:r>
              <w:rPr>
                <w:b/>
                <w:bCs/>
                <w:sz w:val="20"/>
                <w:szCs w:val="20"/>
              </w:rPr>
              <w:t>Resultados / Acuerdos relevantes</w:t>
            </w:r>
          </w:p>
        </w:tc>
      </w:tr>
      <w:tr w:rsidR="00D17B12" w14:paraId="1203EB23" w14:textId="77777777">
        <w:trPr>
          <w:trHeight w:val="2180"/>
          <w:jc w:val="center"/>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59D8B" w14:textId="77777777" w:rsidR="00D17B12" w:rsidRDefault="007526ED">
            <w:pPr>
              <w:spacing w:before="240" w:after="240" w:line="240" w:lineRule="auto"/>
              <w:jc w:val="center"/>
              <w:rPr>
                <w:sz w:val="20"/>
                <w:szCs w:val="20"/>
              </w:rPr>
            </w:pPr>
            <w:r>
              <w:rPr>
                <w:sz w:val="20"/>
                <w:szCs w:val="20"/>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99E03" w14:textId="77777777" w:rsidR="00D17B12" w:rsidRDefault="007526ED">
            <w:pPr>
              <w:spacing w:before="240" w:after="240" w:line="240" w:lineRule="auto"/>
              <w:jc w:val="center"/>
              <w:rPr>
                <w:sz w:val="20"/>
                <w:szCs w:val="20"/>
              </w:rPr>
            </w:pPr>
            <w:r>
              <w:rPr>
                <w:sz w:val="20"/>
                <w:szCs w:val="20"/>
              </w:rPr>
              <w:t>26/04/2025</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F9B9F" w14:textId="77777777" w:rsidR="00D17B12" w:rsidRDefault="007526ED">
            <w:pPr>
              <w:spacing w:before="240" w:after="240" w:line="240" w:lineRule="auto"/>
              <w:jc w:val="center"/>
              <w:rPr>
                <w:sz w:val="20"/>
                <w:szCs w:val="20"/>
              </w:rPr>
            </w:pPr>
            <w:r>
              <w:rPr>
                <w:sz w:val="20"/>
                <w:szCs w:val="20"/>
              </w:rPr>
              <w:t>Virtual</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22E5A" w14:textId="77777777" w:rsidR="00D17B12" w:rsidRDefault="007526ED">
            <w:pPr>
              <w:spacing w:before="240" w:after="240" w:line="240" w:lineRule="auto"/>
              <w:jc w:val="center"/>
              <w:rPr>
                <w:sz w:val="20"/>
                <w:szCs w:val="20"/>
              </w:rPr>
            </w:pPr>
            <w:r>
              <w:rPr>
                <w:sz w:val="20"/>
                <w:szCs w:val="20"/>
              </w:rPr>
              <w:t>Miembros del sector (agremiados y no agremiados), DAFO</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91BD1" w14:textId="77777777" w:rsidR="00D17B12" w:rsidRDefault="007526ED">
            <w:pPr>
              <w:spacing w:before="240" w:after="240" w:line="240" w:lineRule="auto"/>
              <w:jc w:val="center"/>
              <w:rPr>
                <w:sz w:val="20"/>
                <w:szCs w:val="20"/>
              </w:rPr>
            </w:pPr>
            <w:r>
              <w:rPr>
                <w:sz w:val="20"/>
                <w:szCs w:val="20"/>
              </w:rPr>
              <w:t>Presentación general del proceso de reglamentación de la Ley N.° 32309, así como de los principales desafíos del mismo: plazo corto para la reglamentación y la necesidad de una coordinación multisectorial (MEF, SUNAT, MINCETUR, PROMPERÚ)</w:t>
            </w:r>
          </w:p>
        </w:tc>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D1B10" w14:textId="77777777" w:rsidR="00D17B12" w:rsidRDefault="007526ED">
            <w:pPr>
              <w:spacing w:before="240" w:after="240" w:line="240" w:lineRule="auto"/>
              <w:jc w:val="center"/>
              <w:rPr>
                <w:sz w:val="20"/>
                <w:szCs w:val="20"/>
              </w:rPr>
            </w:pPr>
            <w:r>
              <w:rPr>
                <w:sz w:val="20"/>
                <w:szCs w:val="20"/>
              </w:rPr>
              <w:t>Se informó el alcance del proceso; se recogieron observaciones iniciales sobre el proceso propuesto.</w:t>
            </w:r>
          </w:p>
        </w:tc>
      </w:tr>
      <w:tr w:rsidR="00D17B12" w14:paraId="32DD73F7" w14:textId="77777777">
        <w:trPr>
          <w:trHeight w:val="2180"/>
          <w:jc w:val="center"/>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606BA4" w14:textId="77777777" w:rsidR="00D17B12" w:rsidRDefault="007526ED">
            <w:pPr>
              <w:spacing w:before="240" w:after="240" w:line="240" w:lineRule="auto"/>
              <w:jc w:val="center"/>
              <w:rPr>
                <w:sz w:val="20"/>
                <w:szCs w:val="20"/>
              </w:rPr>
            </w:pPr>
            <w:r>
              <w:rPr>
                <w:sz w:val="20"/>
                <w:szCs w:val="20"/>
              </w:rPr>
              <w:t>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E48D1" w14:textId="77777777" w:rsidR="00D17B12" w:rsidRDefault="007526ED">
            <w:pPr>
              <w:spacing w:before="240" w:after="240" w:line="240" w:lineRule="auto"/>
              <w:jc w:val="center"/>
              <w:rPr>
                <w:sz w:val="20"/>
                <w:szCs w:val="20"/>
              </w:rPr>
            </w:pPr>
            <w:r>
              <w:rPr>
                <w:sz w:val="20"/>
                <w:szCs w:val="20"/>
              </w:rPr>
              <w:t>12/05/2025</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C7CC1" w14:textId="77777777" w:rsidR="00D17B12" w:rsidRDefault="007526ED">
            <w:pPr>
              <w:spacing w:before="240" w:after="240" w:line="240" w:lineRule="auto"/>
              <w:jc w:val="center"/>
              <w:rPr>
                <w:sz w:val="20"/>
                <w:szCs w:val="20"/>
              </w:rPr>
            </w:pPr>
            <w:r>
              <w:rPr>
                <w:sz w:val="20"/>
                <w:szCs w:val="20"/>
              </w:rPr>
              <w:t>Presencial</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AB14A" w14:textId="77777777" w:rsidR="00D17B12" w:rsidRDefault="007526ED">
            <w:pPr>
              <w:spacing w:before="240" w:after="240" w:line="240" w:lineRule="auto"/>
              <w:jc w:val="center"/>
              <w:rPr>
                <w:sz w:val="20"/>
                <w:szCs w:val="20"/>
              </w:rPr>
            </w:pPr>
            <w:r>
              <w:rPr>
                <w:sz w:val="20"/>
                <w:szCs w:val="20"/>
              </w:rPr>
              <w:t>Ministro de Cultura, DGIA, DAFO, asesores, representantes del sector</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1007B3" w14:textId="77777777" w:rsidR="00D17B12" w:rsidRDefault="007526ED">
            <w:pPr>
              <w:spacing w:before="240" w:after="240" w:line="240" w:lineRule="auto"/>
              <w:jc w:val="center"/>
              <w:rPr>
                <w:sz w:val="20"/>
                <w:szCs w:val="20"/>
              </w:rPr>
            </w:pPr>
            <w:r>
              <w:rPr>
                <w:sz w:val="20"/>
                <w:szCs w:val="20"/>
              </w:rPr>
              <w:t>Participación directa del sector en la elaboración del reglamento; planteamiento de preocupaciones sobre el proceso de reglamentación.</w:t>
            </w:r>
          </w:p>
        </w:tc>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43120" w14:textId="77777777" w:rsidR="00D17B12" w:rsidRDefault="007526ED">
            <w:pPr>
              <w:spacing w:before="240" w:after="240" w:line="240" w:lineRule="auto"/>
              <w:jc w:val="center"/>
              <w:rPr>
                <w:sz w:val="20"/>
                <w:szCs w:val="20"/>
              </w:rPr>
            </w:pPr>
            <w:r>
              <w:rPr>
                <w:sz w:val="20"/>
                <w:szCs w:val="20"/>
              </w:rPr>
              <w:t>Se acordó incorporar al sector cinematográfico en el proceso de elaboración del reglamento; se reafirmó el compromiso de transparencia y participación ciudadana.</w:t>
            </w:r>
          </w:p>
        </w:tc>
      </w:tr>
      <w:tr w:rsidR="00D17B12" w14:paraId="0ACA83DF" w14:textId="77777777">
        <w:trPr>
          <w:trHeight w:val="2180"/>
          <w:jc w:val="center"/>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68E50" w14:textId="77777777" w:rsidR="00D17B12" w:rsidRDefault="007526ED">
            <w:pPr>
              <w:pBdr>
                <w:top w:val="nil"/>
                <w:left w:val="nil"/>
                <w:bottom w:val="nil"/>
                <w:right w:val="nil"/>
                <w:between w:val="nil"/>
              </w:pBdr>
              <w:spacing w:before="240" w:after="240" w:line="240" w:lineRule="auto"/>
              <w:jc w:val="center"/>
              <w:rPr>
                <w:sz w:val="20"/>
                <w:szCs w:val="20"/>
              </w:rPr>
            </w:pPr>
            <w:r>
              <w:rPr>
                <w:sz w:val="20"/>
                <w:szCs w:val="20"/>
              </w:rPr>
              <w:t>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E8D20" w14:textId="77777777" w:rsidR="00D17B12" w:rsidRDefault="007526ED">
            <w:pPr>
              <w:pBdr>
                <w:top w:val="nil"/>
                <w:left w:val="nil"/>
                <w:bottom w:val="nil"/>
                <w:right w:val="nil"/>
                <w:between w:val="nil"/>
              </w:pBdr>
              <w:spacing w:before="240" w:after="240" w:line="240" w:lineRule="auto"/>
              <w:jc w:val="center"/>
              <w:rPr>
                <w:sz w:val="20"/>
                <w:szCs w:val="20"/>
              </w:rPr>
            </w:pPr>
            <w:r>
              <w:rPr>
                <w:sz w:val="20"/>
                <w:szCs w:val="20"/>
              </w:rPr>
              <w:t>20/05/2025</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8B40F" w14:textId="77777777" w:rsidR="00D17B12" w:rsidRDefault="007526ED">
            <w:pPr>
              <w:pBdr>
                <w:top w:val="nil"/>
                <w:left w:val="nil"/>
                <w:bottom w:val="nil"/>
                <w:right w:val="nil"/>
                <w:between w:val="nil"/>
              </w:pBdr>
              <w:spacing w:before="240" w:after="240" w:line="240" w:lineRule="auto"/>
              <w:jc w:val="center"/>
              <w:rPr>
                <w:sz w:val="20"/>
                <w:szCs w:val="20"/>
              </w:rPr>
            </w:pPr>
            <w:r>
              <w:rPr>
                <w:sz w:val="20"/>
                <w:szCs w:val="20"/>
              </w:rPr>
              <w:t>Virtual</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05619" w14:textId="77777777" w:rsidR="00D17B12" w:rsidRDefault="007526ED">
            <w:pPr>
              <w:pBdr>
                <w:top w:val="nil"/>
                <w:left w:val="nil"/>
                <w:bottom w:val="nil"/>
                <w:right w:val="nil"/>
                <w:between w:val="nil"/>
              </w:pBdr>
              <w:spacing w:before="240" w:after="240" w:line="240" w:lineRule="auto"/>
              <w:jc w:val="center"/>
              <w:rPr>
                <w:sz w:val="20"/>
                <w:szCs w:val="20"/>
              </w:rPr>
            </w:pPr>
            <w:r>
              <w:rPr>
                <w:sz w:val="20"/>
                <w:szCs w:val="20"/>
              </w:rPr>
              <w:t>Miembros del sector (agremiados), DAFO</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3F532" w14:textId="77777777" w:rsidR="00D17B12" w:rsidRDefault="007526ED">
            <w:pPr>
              <w:pBdr>
                <w:top w:val="nil"/>
                <w:left w:val="nil"/>
                <w:bottom w:val="nil"/>
                <w:right w:val="nil"/>
                <w:between w:val="nil"/>
              </w:pBdr>
              <w:spacing w:before="240" w:after="240" w:line="240" w:lineRule="auto"/>
              <w:jc w:val="center"/>
              <w:rPr>
                <w:sz w:val="20"/>
                <w:szCs w:val="20"/>
              </w:rPr>
            </w:pPr>
            <w:r>
              <w:rPr>
                <w:sz w:val="20"/>
                <w:szCs w:val="20"/>
              </w:rPr>
              <w:t xml:space="preserve">Presentación del mecanismo de participación ciudadana en la elaboración del reglamento de la Ley N.° 3209. </w:t>
            </w:r>
          </w:p>
        </w:tc>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2393B" w14:textId="77777777" w:rsidR="00D17B12" w:rsidRDefault="007526ED">
            <w:pPr>
              <w:pBdr>
                <w:top w:val="nil"/>
                <w:left w:val="nil"/>
                <w:bottom w:val="nil"/>
                <w:right w:val="nil"/>
                <w:between w:val="nil"/>
              </w:pBdr>
              <w:spacing w:before="240" w:after="240" w:line="240" w:lineRule="auto"/>
              <w:jc w:val="center"/>
              <w:rPr>
                <w:sz w:val="20"/>
                <w:szCs w:val="20"/>
              </w:rPr>
            </w:pPr>
            <w:r>
              <w:rPr>
                <w:sz w:val="20"/>
                <w:szCs w:val="20"/>
              </w:rPr>
              <w:t>Se estableció el día 30 de mayo de 2025 como fecha límite para la presentación vía correo electrónico o portal institucional, para la presentación de sugerencias y aportes en un formato específico.</w:t>
            </w:r>
          </w:p>
        </w:tc>
      </w:tr>
      <w:tr w:rsidR="00D17B12" w14:paraId="52737C15" w14:textId="77777777">
        <w:trPr>
          <w:trHeight w:val="1625"/>
          <w:jc w:val="center"/>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1CA2C" w14:textId="77777777" w:rsidR="00D17B12" w:rsidRDefault="007526ED">
            <w:pPr>
              <w:pBdr>
                <w:top w:val="nil"/>
                <w:left w:val="nil"/>
                <w:bottom w:val="nil"/>
                <w:right w:val="nil"/>
                <w:between w:val="nil"/>
              </w:pBdr>
              <w:spacing w:before="240" w:after="240" w:line="240" w:lineRule="auto"/>
              <w:jc w:val="center"/>
              <w:rPr>
                <w:sz w:val="20"/>
                <w:szCs w:val="20"/>
              </w:rPr>
            </w:pPr>
            <w:r>
              <w:rPr>
                <w:sz w:val="20"/>
                <w:szCs w:val="20"/>
              </w:rPr>
              <w:t>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5AA64" w14:textId="77777777" w:rsidR="00D17B12" w:rsidRDefault="007526ED">
            <w:pPr>
              <w:pBdr>
                <w:top w:val="nil"/>
                <w:left w:val="nil"/>
                <w:bottom w:val="nil"/>
                <w:right w:val="nil"/>
                <w:between w:val="nil"/>
              </w:pBdr>
              <w:spacing w:before="240" w:after="240" w:line="240" w:lineRule="auto"/>
              <w:jc w:val="center"/>
              <w:rPr>
                <w:sz w:val="20"/>
                <w:szCs w:val="20"/>
              </w:rPr>
            </w:pPr>
            <w:r>
              <w:rPr>
                <w:sz w:val="20"/>
                <w:szCs w:val="20"/>
              </w:rPr>
              <w:t>26/05/2025</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67ED8" w14:textId="77777777" w:rsidR="00D17B12" w:rsidRDefault="007526ED">
            <w:pPr>
              <w:pBdr>
                <w:top w:val="nil"/>
                <w:left w:val="nil"/>
                <w:bottom w:val="nil"/>
                <w:right w:val="nil"/>
                <w:between w:val="nil"/>
              </w:pBdr>
              <w:spacing w:before="240" w:after="240" w:line="240" w:lineRule="auto"/>
              <w:jc w:val="center"/>
              <w:rPr>
                <w:sz w:val="20"/>
                <w:szCs w:val="20"/>
              </w:rPr>
            </w:pPr>
            <w:r>
              <w:rPr>
                <w:sz w:val="20"/>
                <w:szCs w:val="20"/>
              </w:rPr>
              <w:t>Virtual</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CE702" w14:textId="77777777" w:rsidR="00D17B12" w:rsidRDefault="007526ED">
            <w:pPr>
              <w:spacing w:before="240" w:after="240" w:line="240" w:lineRule="auto"/>
              <w:jc w:val="center"/>
              <w:rPr>
                <w:sz w:val="20"/>
                <w:szCs w:val="20"/>
              </w:rPr>
            </w:pPr>
            <w:r>
              <w:rPr>
                <w:sz w:val="20"/>
                <w:szCs w:val="20"/>
              </w:rPr>
              <w:t>Miembros del sector (no agremiados), DAFO</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6F698" w14:textId="77777777" w:rsidR="00D17B12" w:rsidRDefault="007526ED">
            <w:pPr>
              <w:spacing w:before="240" w:after="240" w:line="240" w:lineRule="auto"/>
              <w:jc w:val="center"/>
              <w:rPr>
                <w:sz w:val="20"/>
                <w:szCs w:val="20"/>
              </w:rPr>
            </w:pPr>
            <w:r>
              <w:rPr>
                <w:sz w:val="20"/>
                <w:szCs w:val="20"/>
              </w:rPr>
              <w:t xml:space="preserve">Presentación del mecanismo de participación ciudadana en la elaboración del reglamento de la Ley N.° 3209. </w:t>
            </w:r>
          </w:p>
        </w:tc>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EE7E8" w14:textId="77777777" w:rsidR="00D17B12" w:rsidRDefault="007526ED">
            <w:pPr>
              <w:spacing w:before="240" w:after="240" w:line="240" w:lineRule="auto"/>
              <w:jc w:val="center"/>
              <w:rPr>
                <w:sz w:val="20"/>
                <w:szCs w:val="20"/>
              </w:rPr>
            </w:pPr>
            <w:r>
              <w:rPr>
                <w:sz w:val="20"/>
                <w:szCs w:val="20"/>
              </w:rPr>
              <w:t>Se estableció el día 30 de mayo de 2025 como fecha límite para la presentación vía correo electrónico o portal institucional, para la presentación de sugerencias y aportes en un formato específico.</w:t>
            </w:r>
          </w:p>
        </w:tc>
      </w:tr>
      <w:tr w:rsidR="00D17B12" w14:paraId="34D9DF38" w14:textId="77777777">
        <w:trPr>
          <w:trHeight w:val="1625"/>
          <w:jc w:val="center"/>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C1270" w14:textId="77777777" w:rsidR="00D17B12" w:rsidRDefault="007526ED">
            <w:pPr>
              <w:spacing w:before="240" w:after="240" w:line="240" w:lineRule="auto"/>
              <w:jc w:val="center"/>
              <w:rPr>
                <w:sz w:val="20"/>
                <w:szCs w:val="20"/>
              </w:rPr>
            </w:pPr>
            <w:r>
              <w:rPr>
                <w:sz w:val="20"/>
                <w:szCs w:val="20"/>
              </w:rPr>
              <w:t>5</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C203D" w14:textId="77777777" w:rsidR="00D17B12" w:rsidRDefault="007526ED">
            <w:pPr>
              <w:spacing w:before="240" w:after="240" w:line="240" w:lineRule="auto"/>
              <w:jc w:val="center"/>
              <w:rPr>
                <w:sz w:val="20"/>
                <w:szCs w:val="20"/>
              </w:rPr>
            </w:pPr>
            <w:r>
              <w:rPr>
                <w:sz w:val="20"/>
                <w:szCs w:val="20"/>
              </w:rPr>
              <w:t>25/07/2025</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D9DEC" w14:textId="77777777" w:rsidR="00D17B12" w:rsidRDefault="007526ED">
            <w:pPr>
              <w:spacing w:before="240" w:after="240" w:line="240" w:lineRule="auto"/>
              <w:jc w:val="center"/>
              <w:rPr>
                <w:sz w:val="20"/>
                <w:szCs w:val="20"/>
              </w:rPr>
            </w:pPr>
            <w:r>
              <w:rPr>
                <w:sz w:val="20"/>
                <w:szCs w:val="20"/>
              </w:rPr>
              <w:t>Virtual</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057CE" w14:textId="77777777" w:rsidR="00D17B12" w:rsidRDefault="007526ED">
            <w:pPr>
              <w:spacing w:before="240" w:after="240" w:line="240" w:lineRule="auto"/>
              <w:jc w:val="center"/>
              <w:rPr>
                <w:sz w:val="20"/>
                <w:szCs w:val="20"/>
              </w:rPr>
            </w:pPr>
            <w:r>
              <w:rPr>
                <w:sz w:val="20"/>
                <w:szCs w:val="20"/>
              </w:rPr>
              <w:t>Miembros del sector (agremiados y no agremiados), DAFO</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5310E" w14:textId="77777777" w:rsidR="00D17B12" w:rsidRDefault="007526ED">
            <w:pPr>
              <w:spacing w:before="240" w:after="240" w:line="240" w:lineRule="auto"/>
              <w:jc w:val="center"/>
              <w:rPr>
                <w:sz w:val="20"/>
                <w:szCs w:val="20"/>
              </w:rPr>
            </w:pPr>
            <w:r>
              <w:rPr>
                <w:sz w:val="20"/>
                <w:szCs w:val="20"/>
              </w:rPr>
              <w:t xml:space="preserve">Presentación de avances del proceso de elaboración del reglamento de la Ley N.° 3209. </w:t>
            </w:r>
          </w:p>
        </w:tc>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7E144" w14:textId="77777777" w:rsidR="00D17B12" w:rsidRDefault="007526ED">
            <w:pPr>
              <w:spacing w:before="240" w:after="240" w:line="240" w:lineRule="auto"/>
              <w:jc w:val="center"/>
              <w:rPr>
                <w:sz w:val="20"/>
                <w:szCs w:val="20"/>
              </w:rPr>
            </w:pPr>
            <w:r>
              <w:rPr>
                <w:sz w:val="20"/>
                <w:szCs w:val="20"/>
              </w:rPr>
              <w:t>Se comunicaron los avances de las reuniones con las otras entidades del Estado competentes para la reglamentación de la Ley N.° 32309 y se informó que los aportes presentados fueron considerados para la elaboración del reglamento, el cual será compartido con ellos una vez presentada la propuesta desde la DAFO.</w:t>
            </w:r>
          </w:p>
        </w:tc>
      </w:tr>
      <w:tr w:rsidR="00D17B12" w14:paraId="325D49F6" w14:textId="77777777">
        <w:trPr>
          <w:trHeight w:val="1625"/>
          <w:jc w:val="center"/>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5484E" w14:textId="77777777" w:rsidR="00D17B12" w:rsidRDefault="007526ED">
            <w:pPr>
              <w:spacing w:before="240" w:after="240" w:line="240" w:lineRule="auto"/>
              <w:jc w:val="center"/>
              <w:rPr>
                <w:sz w:val="20"/>
                <w:szCs w:val="20"/>
              </w:rPr>
            </w:pPr>
            <w:r>
              <w:rPr>
                <w:sz w:val="20"/>
                <w:szCs w:val="20"/>
              </w:rPr>
              <w:t>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38D76" w14:textId="77777777" w:rsidR="00D17B12" w:rsidRDefault="007526ED">
            <w:pPr>
              <w:spacing w:before="240" w:after="240" w:line="240" w:lineRule="auto"/>
              <w:jc w:val="center"/>
              <w:rPr>
                <w:sz w:val="20"/>
                <w:szCs w:val="20"/>
              </w:rPr>
            </w:pPr>
            <w:r>
              <w:rPr>
                <w:sz w:val="20"/>
                <w:szCs w:val="20"/>
              </w:rPr>
              <w:t>17/11/2025</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6B964" w14:textId="77777777" w:rsidR="00D17B12" w:rsidRDefault="007526ED">
            <w:pPr>
              <w:spacing w:before="240" w:after="240" w:line="240" w:lineRule="auto"/>
              <w:jc w:val="center"/>
              <w:rPr>
                <w:sz w:val="20"/>
                <w:szCs w:val="20"/>
              </w:rPr>
            </w:pPr>
            <w:r>
              <w:rPr>
                <w:sz w:val="20"/>
                <w:szCs w:val="20"/>
              </w:rPr>
              <w:t>Híbrida</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2FCC8" w14:textId="77777777" w:rsidR="00D17B12" w:rsidRDefault="007526ED">
            <w:pPr>
              <w:spacing w:before="240" w:after="240" w:line="240" w:lineRule="auto"/>
              <w:jc w:val="center"/>
              <w:rPr>
                <w:sz w:val="20"/>
                <w:szCs w:val="20"/>
              </w:rPr>
            </w:pPr>
            <w:r>
              <w:rPr>
                <w:sz w:val="20"/>
                <w:szCs w:val="20"/>
              </w:rPr>
              <w:t>Miembros del sector (agremiados y no agremiados), DAFO, DGIA y OGAJ</w:t>
            </w:r>
            <w:r>
              <w:t xml:space="preserve">     </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85B21" w14:textId="77777777" w:rsidR="00D17B12" w:rsidRDefault="007526ED">
            <w:pPr>
              <w:spacing w:before="240" w:after="240" w:line="240" w:lineRule="auto"/>
              <w:jc w:val="center"/>
              <w:rPr>
                <w:b/>
                <w:bCs/>
                <w:sz w:val="20"/>
                <w:szCs w:val="20"/>
              </w:rPr>
            </w:pPr>
            <w:r>
              <w:rPr>
                <w:sz w:val="20"/>
                <w:szCs w:val="20"/>
              </w:rPr>
              <w:t>Presentación de manera anticipada de la propuesta del proyecto de reglamento de la Ley N.° 3209.</w:t>
            </w:r>
          </w:p>
        </w:tc>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CA5A1" w14:textId="77777777" w:rsidR="00D17B12" w:rsidRDefault="007526ED">
            <w:pPr>
              <w:spacing w:before="240" w:after="240" w:line="240" w:lineRule="auto"/>
              <w:jc w:val="center"/>
              <w:rPr>
                <w:sz w:val="20"/>
                <w:szCs w:val="20"/>
              </w:rPr>
            </w:pPr>
            <w:r>
              <w:rPr>
                <w:sz w:val="20"/>
                <w:szCs w:val="20"/>
              </w:rPr>
              <w:t xml:space="preserve">Se expuso el contenido del proyecto de reglamento de la Ley N.° 32309, el cual fue compartido por correo electrónico a todo el sector audiovisual inscrito en el RENCA el día 10 de noviembre de 2025, una semana antes de llevarse a cabo la reunión. </w:t>
            </w:r>
          </w:p>
          <w:p w14:paraId="143AE484" w14:textId="77777777" w:rsidR="00D17B12" w:rsidRDefault="007526ED">
            <w:pPr>
              <w:spacing w:before="240" w:after="240" w:line="240" w:lineRule="auto"/>
              <w:jc w:val="center"/>
              <w:rPr>
                <w:sz w:val="20"/>
                <w:szCs w:val="20"/>
              </w:rPr>
            </w:pPr>
            <w:r>
              <w:rPr>
                <w:sz w:val="20"/>
                <w:szCs w:val="20"/>
              </w:rPr>
              <w:t>Se absolvieron consultas del sector y se informó que se recibirían aportes y sugerencias a través de un formulario de Google habilitado especialmente para ello, de manera paralela a la publicación del proyecto del reglamento en mención.</w:t>
            </w:r>
          </w:p>
        </w:tc>
      </w:tr>
    </w:tbl>
    <w:p w14:paraId="3FEB2A13" w14:textId="77777777" w:rsidR="00D17B12" w:rsidRDefault="007526ED">
      <w:pPr>
        <w:spacing w:before="240" w:after="240" w:line="240" w:lineRule="auto"/>
        <w:jc w:val="center"/>
      </w:pPr>
      <w:r>
        <w:rPr>
          <w:sz w:val="18"/>
          <w:szCs w:val="18"/>
        </w:rPr>
        <w:t>Elaboración: DAFO (Ministerio de Cultura, 2025)</w:t>
      </w:r>
    </w:p>
    <w:p w14:paraId="3BB9EE39" w14:textId="77777777" w:rsidR="00D17B12" w:rsidRDefault="007526ED">
      <w:pPr>
        <w:spacing w:before="240" w:line="240" w:lineRule="auto"/>
        <w:ind w:left="567" w:hanging="567"/>
        <w:jc w:val="both"/>
        <w:rPr>
          <w:b/>
          <w:bCs/>
        </w:rPr>
      </w:pPr>
      <w:r>
        <w:rPr>
          <w:b/>
          <w:bCs/>
        </w:rPr>
        <w:t>b)</w:t>
      </w:r>
      <w:r>
        <w:rPr>
          <w:b/>
          <w:bCs/>
        </w:rPr>
        <w:tab/>
        <w:t>Aportes y sugerencias enviadas por el sector cinematográfico y audiovisual</w:t>
      </w:r>
    </w:p>
    <w:p w14:paraId="66F4D9F2" w14:textId="77777777" w:rsidR="00D17B12" w:rsidRDefault="007526ED">
      <w:pPr>
        <w:spacing w:before="240" w:after="240" w:line="240" w:lineRule="auto"/>
        <w:jc w:val="both"/>
        <w:rPr>
          <w:highlight w:val="white"/>
        </w:rPr>
      </w:pPr>
      <w:r>
        <w:rPr>
          <w:highlight w:val="white"/>
        </w:rPr>
        <w:t>Durante el proceso participativo, los agentes del sector remitieron aportes y observaciones tanto de manera escrita como oral. Estos insumos fueron sistematizados por la DAFO y considerados en la redacción final del reglamento, priorizando aquellos que contribuían a fortalecer la claridad, aplicabilidad y coherencia del marco normativo.</w:t>
      </w:r>
      <w:r>
        <w:t xml:space="preserve">     </w:t>
      </w:r>
    </w:p>
    <w:p w14:paraId="5A59FF91" w14:textId="77777777" w:rsidR="00D17B12" w:rsidRDefault="007526ED">
      <w:pPr>
        <w:spacing w:before="240" w:after="240" w:line="240" w:lineRule="auto"/>
        <w:jc w:val="both"/>
        <w:rPr>
          <w:highlight w:val="white"/>
        </w:rPr>
      </w:pPr>
      <w:r>
        <w:rPr>
          <w:highlight w:val="white"/>
        </w:rPr>
        <w:t>De manera específica, como parte del mecanismo de participación ciudadana presentada al sector en las reuniones de los días 20 y 26 de mayo del 2025, se recibieron aportes y sugerencias de las siguientes personas y asociaciones:</w:t>
      </w:r>
    </w:p>
    <w:p w14:paraId="49AE31AC" w14:textId="77777777" w:rsidR="00D17B12" w:rsidRDefault="007526ED">
      <w:pPr>
        <w:numPr>
          <w:ilvl w:val="0"/>
          <w:numId w:val="9"/>
        </w:numPr>
        <w:spacing w:before="240" w:line="240" w:lineRule="auto"/>
        <w:jc w:val="both"/>
        <w:rPr>
          <w:highlight w:val="white"/>
        </w:rPr>
      </w:pPr>
      <w:r>
        <w:rPr>
          <w:highlight w:val="white"/>
        </w:rPr>
        <w:t xml:space="preserve">ASOCIACIÓN DE AUTORES Y DIRECTORES DE FOTOGRAFÍA CINEMATOGRÁFICA PERUANOS – DFP </w:t>
      </w:r>
    </w:p>
    <w:p w14:paraId="3AB45EB7" w14:textId="77777777" w:rsidR="00D17B12" w:rsidRDefault="007526ED">
      <w:pPr>
        <w:numPr>
          <w:ilvl w:val="0"/>
          <w:numId w:val="9"/>
        </w:numPr>
        <w:spacing w:line="240" w:lineRule="auto"/>
        <w:jc w:val="both"/>
        <w:rPr>
          <w:highlight w:val="white"/>
        </w:rPr>
      </w:pPr>
      <w:r>
        <w:rPr>
          <w:highlight w:val="white"/>
        </w:rPr>
        <w:t>APCP (Asociación de Productores Cinematográficos del Perú), UCP (Unión de Cineastas Peruanos), AECP (Asociación de Empresas Cinematográficas del Perú), DFP</w:t>
      </w:r>
    </w:p>
    <w:p w14:paraId="34A2540B" w14:textId="77777777" w:rsidR="00D17B12" w:rsidRDefault="007526ED">
      <w:pPr>
        <w:numPr>
          <w:ilvl w:val="0"/>
          <w:numId w:val="9"/>
        </w:numPr>
        <w:spacing w:line="240" w:lineRule="auto"/>
        <w:jc w:val="both"/>
        <w:rPr>
          <w:highlight w:val="white"/>
        </w:rPr>
      </w:pPr>
      <w:r>
        <w:rPr>
          <w:highlight w:val="white"/>
        </w:rPr>
        <w:t>Rossana Díaz Costa</w:t>
      </w:r>
    </w:p>
    <w:p w14:paraId="527F015D" w14:textId="77777777" w:rsidR="00D17B12" w:rsidRDefault="007526ED">
      <w:pPr>
        <w:numPr>
          <w:ilvl w:val="0"/>
          <w:numId w:val="9"/>
        </w:numPr>
        <w:spacing w:line="240" w:lineRule="auto"/>
        <w:jc w:val="both"/>
        <w:rPr>
          <w:highlight w:val="white"/>
        </w:rPr>
      </w:pPr>
      <w:r>
        <w:rPr>
          <w:highlight w:val="white"/>
        </w:rPr>
        <w:t xml:space="preserve">EGEDA Perú </w:t>
      </w:r>
    </w:p>
    <w:p w14:paraId="6D641EAE" w14:textId="77777777" w:rsidR="00D17B12" w:rsidRDefault="007526ED">
      <w:pPr>
        <w:numPr>
          <w:ilvl w:val="0"/>
          <w:numId w:val="9"/>
        </w:numPr>
        <w:spacing w:line="240" w:lineRule="auto"/>
        <w:jc w:val="both"/>
        <w:rPr>
          <w:highlight w:val="white"/>
        </w:rPr>
      </w:pPr>
      <w:r>
        <w:rPr>
          <w:highlight w:val="white"/>
        </w:rPr>
        <w:t>Michel Gómez Zanoli</w:t>
      </w:r>
    </w:p>
    <w:p w14:paraId="34F9E782" w14:textId="77777777" w:rsidR="00D17B12" w:rsidRDefault="007526ED">
      <w:pPr>
        <w:numPr>
          <w:ilvl w:val="0"/>
          <w:numId w:val="9"/>
        </w:numPr>
        <w:spacing w:line="240" w:lineRule="auto"/>
        <w:jc w:val="both"/>
        <w:rPr>
          <w:highlight w:val="white"/>
        </w:rPr>
      </w:pPr>
      <w:r>
        <w:rPr>
          <w:highlight w:val="white"/>
        </w:rPr>
        <w:t>Andrea de la Torre</w:t>
      </w:r>
    </w:p>
    <w:p w14:paraId="72332816" w14:textId="77777777" w:rsidR="00D17B12" w:rsidRDefault="007526ED">
      <w:pPr>
        <w:numPr>
          <w:ilvl w:val="0"/>
          <w:numId w:val="9"/>
        </w:numPr>
        <w:spacing w:after="240" w:line="240" w:lineRule="auto"/>
        <w:jc w:val="both"/>
        <w:rPr>
          <w:highlight w:val="white"/>
        </w:rPr>
      </w:pPr>
      <w:r>
        <w:rPr>
          <w:highlight w:val="white"/>
        </w:rPr>
        <w:t>Luis Llosa Urquidi</w:t>
      </w:r>
    </w:p>
    <w:p w14:paraId="2F95C73C" w14:textId="77777777" w:rsidR="00D17B12" w:rsidRDefault="007526ED">
      <w:pPr>
        <w:spacing w:before="240" w:after="240" w:line="240" w:lineRule="auto"/>
        <w:jc w:val="both"/>
        <w:rPr>
          <w:highlight w:val="white"/>
        </w:rPr>
      </w:pPr>
      <w:r>
        <w:rPr>
          <w:highlight w:val="white"/>
        </w:rPr>
        <w:t xml:space="preserve">Entre los aportes más recurrentes se encuentra la necesidad de actualizar y precisar el glosario de definiciones, así como establecer mecanismos de participación más sólidos en la elaboración del Plan Anual, mediante mesas de trabajo, reuniones con gremios y la publicación transparente de actas y resultados. </w:t>
      </w:r>
    </w:p>
    <w:p w14:paraId="20090A5D" w14:textId="77777777" w:rsidR="00D17B12" w:rsidRDefault="007526ED">
      <w:pPr>
        <w:spacing w:before="240" w:after="240" w:line="240" w:lineRule="auto"/>
        <w:jc w:val="both"/>
        <w:rPr>
          <w:highlight w:val="white"/>
        </w:rPr>
      </w:pPr>
      <w:r>
        <w:rPr>
          <w:highlight w:val="white"/>
        </w:rPr>
        <w:t xml:space="preserve">Otro bloque importante de propuestas se centra en los estímulos económicos y su aplicación. Se subraya la necesidad de garantizar un mínimo de 6,000 UIT anuales, que se calculen con el valor vigente de cada ejercicio fiscal, y que el límite del 70% de financiamiento no restrinja proyectos de ópera prima, cine regional, documentales o iniciativas que promuevan diversidad cultural y lingüística. </w:t>
      </w:r>
    </w:p>
    <w:p w14:paraId="15DF42CB" w14:textId="77777777" w:rsidR="00D17B12" w:rsidRDefault="007526ED">
      <w:pPr>
        <w:spacing w:before="240" w:after="240" w:line="240" w:lineRule="auto"/>
        <w:jc w:val="both"/>
        <w:rPr>
          <w:highlight w:val="white"/>
        </w:rPr>
      </w:pPr>
      <w:r>
        <w:rPr>
          <w:highlight w:val="white"/>
        </w:rPr>
        <w:t xml:space="preserve">Asimismo, se insiste en que la verificación de requisitos por parte de la DAFO no vulnere la libertad de creación y expresión, evitando exclusiones por motivos ideológicos, religiosos o políticos. </w:t>
      </w:r>
    </w:p>
    <w:p w14:paraId="31121148" w14:textId="77777777" w:rsidR="00D17B12" w:rsidRDefault="007526ED">
      <w:pPr>
        <w:spacing w:before="240" w:after="240" w:line="240" w:lineRule="auto"/>
        <w:jc w:val="both"/>
        <w:rPr>
          <w:highlight w:val="white"/>
        </w:rPr>
      </w:pPr>
      <w:r>
        <w:rPr>
          <w:highlight w:val="white"/>
        </w:rPr>
        <w:t>Finalmente, se destaca promover cuotas de género y territoriales en los estímulos económicos, y garantizar la sostenibilidad del archivo Cinemateca Peruana mediante un sistema nacional de archivos audiovisuales.</w:t>
      </w:r>
      <w:r>
        <w:t xml:space="preserve">     </w:t>
      </w:r>
    </w:p>
    <w:p w14:paraId="1D2DBF17" w14:textId="77777777" w:rsidR="00D17B12" w:rsidRDefault="007526ED">
      <w:pPr>
        <w:spacing w:before="240" w:line="240" w:lineRule="auto"/>
        <w:ind w:left="567" w:hanging="567"/>
        <w:jc w:val="both"/>
        <w:rPr>
          <w:b/>
          <w:bCs/>
        </w:rPr>
      </w:pPr>
      <w:r>
        <w:rPr>
          <w:b/>
          <w:bCs/>
        </w:rPr>
        <w:t>c)</w:t>
      </w:r>
      <w:r>
        <w:rPr>
          <w:b/>
          <w:bCs/>
        </w:rPr>
        <w:tab/>
        <w:t xml:space="preserve">Reuniones de trabajo internas y con otras entidades del estado competentes </w:t>
      </w:r>
    </w:p>
    <w:p w14:paraId="7F089737" w14:textId="77777777" w:rsidR="00D17B12" w:rsidRDefault="007526ED">
      <w:pPr>
        <w:spacing w:before="240" w:after="240" w:line="240" w:lineRule="auto"/>
        <w:jc w:val="both"/>
      </w:pPr>
      <w:r>
        <w:t>De forma paralela al proceso de participación con el sector cinematográfico y audiovisual, se llevaron a cabo diversas reuniones de coordinación con entidades del Estado cuyas competencias se vinculan con la reglamentación e implementación de la Ley N.° 32309. El propósito de estos encuentros fue definir mecanismos de articulación interinstitucional que aseguren una implementación efectiva y coherente de la norma.</w:t>
      </w:r>
    </w:p>
    <w:p w14:paraId="079E0C39" w14:textId="77777777" w:rsidR="00D17B12" w:rsidRDefault="007526ED">
      <w:pPr>
        <w:spacing w:before="240" w:after="240" w:line="240" w:lineRule="auto"/>
        <w:jc w:val="both"/>
      </w:pPr>
      <w:r>
        <w:t>Con el fin de formalizar la participación de las entidades involucradas, el 20 de mayo de 2025, el titular del Ministerio de Cultura remitió los Oficios N.° 367-2025-DM (dirigido al Ministerio de Economía y Finanzas – MEF) y N.° 366-2025-DM (dirigido al Ministerio de Comercio Exterior y Turismo – MINCETUR), mediante los cuales se solicitó la designación de un punto focal en cada institución para coordinar las acciones vinculadas al proceso de reglamentación de la Ley N.° 32309, designaciones que fueron confirmadas en respuesta a dichos oficios.</w:t>
      </w:r>
      <w:r>
        <w:rPr>
          <w:rFonts w:ascii="Calibri" w:eastAsia="Calibri" w:hAnsi="Calibri" w:cs="Calibri"/>
        </w:rPr>
        <w:t xml:space="preserve"> </w:t>
      </w:r>
    </w:p>
    <w:p w14:paraId="5547A845" w14:textId="77777777" w:rsidR="00D17B12" w:rsidRDefault="007526ED">
      <w:pPr>
        <w:spacing w:before="240" w:after="240" w:line="240" w:lineRule="auto"/>
        <w:jc w:val="both"/>
      </w:pPr>
      <w:r>
        <w:t>A continuación, se presenta el detalle de las principales reuniones sostenidas entre abril y septiembre de 2025:</w:t>
      </w:r>
    </w:p>
    <w:p w14:paraId="390F366F" w14:textId="77777777" w:rsidR="00D17B12" w:rsidRDefault="007526ED">
      <w:pPr>
        <w:spacing w:line="240" w:lineRule="auto"/>
        <w:jc w:val="center"/>
        <w:rPr>
          <w:b/>
          <w:bCs/>
        </w:rPr>
      </w:pPr>
      <w:r>
        <w:rPr>
          <w:b/>
          <w:bCs/>
        </w:rPr>
        <w:t>Cuadro 5.- Reuniones de coordinación con otras entidades del Estado</w:t>
      </w:r>
    </w:p>
    <w:p w14:paraId="17A81239" w14:textId="77777777" w:rsidR="00D17B12" w:rsidRDefault="007526ED">
      <w:pPr>
        <w:spacing w:line="240" w:lineRule="auto"/>
        <w:jc w:val="center"/>
        <w:rPr>
          <w:b/>
          <w:bCs/>
        </w:rPr>
      </w:pPr>
      <w:r>
        <w:rPr>
          <w:b/>
          <w:bCs/>
        </w:rPr>
        <w:t>Abril - Septiembre (2025)</w:t>
      </w:r>
    </w:p>
    <w:tbl>
      <w:tblPr>
        <w:tblStyle w:val="a2"/>
        <w:tblpPr w:leftFromText="180" w:rightFromText="180" w:topFromText="180" w:bottomFromText="180" w:vertAnchor="text" w:tblpX="1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3"/>
        <w:gridCol w:w="852"/>
        <w:gridCol w:w="1755"/>
        <w:gridCol w:w="2380"/>
        <w:gridCol w:w="3575"/>
      </w:tblGrid>
      <w:tr w:rsidR="00D17B12" w14:paraId="29BA25FA" w14:textId="77777777">
        <w:trPr>
          <w:trHeight w:val="785"/>
        </w:trPr>
        <w:tc>
          <w:tcPr>
            <w:tcW w:w="463" w:type="dxa"/>
            <w:tcBorders>
              <w:top w:val="single" w:sz="8" w:space="0" w:color="000000"/>
              <w:left w:val="single" w:sz="8" w:space="0" w:color="000000"/>
              <w:bottom w:val="single" w:sz="8" w:space="0" w:color="000000"/>
              <w:right w:val="single" w:sz="8" w:space="0" w:color="000000"/>
            </w:tcBorders>
            <w:shd w:val="clear" w:color="auto" w:fill="D9D9D9"/>
          </w:tcPr>
          <w:p w14:paraId="25CFDCA4" w14:textId="77777777" w:rsidR="00D17B12" w:rsidRDefault="007526ED">
            <w:pPr>
              <w:spacing w:line="240" w:lineRule="auto"/>
              <w:jc w:val="center"/>
              <w:rPr>
                <w:b/>
                <w:bCs/>
                <w:sz w:val="20"/>
                <w:szCs w:val="20"/>
              </w:rPr>
            </w:pPr>
            <w:r>
              <w:rPr>
                <w:b/>
                <w:bCs/>
                <w:sz w:val="20"/>
                <w:szCs w:val="20"/>
              </w:rPr>
              <w:t>N.°</w:t>
            </w:r>
          </w:p>
        </w:tc>
        <w:tc>
          <w:tcPr>
            <w:tcW w:w="852" w:type="dxa"/>
            <w:tcBorders>
              <w:top w:val="single" w:sz="8" w:space="0" w:color="000000"/>
              <w:left w:val="single" w:sz="8" w:space="0" w:color="000000"/>
              <w:bottom w:val="single" w:sz="8" w:space="0" w:color="000000"/>
              <w:right w:val="single" w:sz="8" w:space="0" w:color="000000"/>
            </w:tcBorders>
            <w:shd w:val="clear" w:color="auto" w:fill="D9D9D9"/>
          </w:tcPr>
          <w:p w14:paraId="32504171" w14:textId="77777777" w:rsidR="00D17B12" w:rsidRDefault="007526ED">
            <w:pPr>
              <w:spacing w:line="240" w:lineRule="auto"/>
              <w:jc w:val="center"/>
              <w:rPr>
                <w:b/>
                <w:bCs/>
                <w:sz w:val="20"/>
                <w:szCs w:val="20"/>
              </w:rPr>
            </w:pPr>
            <w:r>
              <w:rPr>
                <w:b/>
                <w:bCs/>
                <w:sz w:val="20"/>
                <w:szCs w:val="20"/>
              </w:rPr>
              <w:t>Fecha</w:t>
            </w:r>
          </w:p>
        </w:tc>
        <w:tc>
          <w:tcPr>
            <w:tcW w:w="1755" w:type="dxa"/>
            <w:tcBorders>
              <w:top w:val="single" w:sz="8" w:space="0" w:color="000000"/>
              <w:left w:val="single" w:sz="8" w:space="0" w:color="000000"/>
              <w:bottom w:val="single" w:sz="8" w:space="0" w:color="000000"/>
              <w:right w:val="single" w:sz="8" w:space="0" w:color="000000"/>
            </w:tcBorders>
            <w:shd w:val="clear" w:color="auto" w:fill="D9D9D9"/>
          </w:tcPr>
          <w:p w14:paraId="4BEB58ED" w14:textId="77777777" w:rsidR="00D17B12" w:rsidRDefault="007526ED">
            <w:pPr>
              <w:spacing w:line="240" w:lineRule="auto"/>
              <w:jc w:val="center"/>
              <w:rPr>
                <w:b/>
                <w:bCs/>
                <w:sz w:val="20"/>
                <w:szCs w:val="20"/>
              </w:rPr>
            </w:pPr>
            <w:r>
              <w:rPr>
                <w:b/>
                <w:bCs/>
                <w:sz w:val="20"/>
                <w:szCs w:val="20"/>
              </w:rPr>
              <w:t>Marco o instancia</w:t>
            </w:r>
          </w:p>
        </w:tc>
        <w:tc>
          <w:tcPr>
            <w:tcW w:w="2380" w:type="dxa"/>
            <w:tcBorders>
              <w:top w:val="single" w:sz="8" w:space="0" w:color="000000"/>
              <w:left w:val="single" w:sz="8" w:space="0" w:color="000000"/>
              <w:bottom w:val="single" w:sz="8" w:space="0" w:color="000000"/>
              <w:right w:val="single" w:sz="8" w:space="0" w:color="000000"/>
            </w:tcBorders>
            <w:shd w:val="clear" w:color="auto" w:fill="D9D9D9"/>
          </w:tcPr>
          <w:p w14:paraId="1EBF63E0" w14:textId="77777777" w:rsidR="00D17B12" w:rsidRDefault="007526ED">
            <w:pPr>
              <w:spacing w:line="240" w:lineRule="auto"/>
              <w:jc w:val="center"/>
              <w:rPr>
                <w:b/>
                <w:bCs/>
                <w:sz w:val="20"/>
                <w:szCs w:val="20"/>
              </w:rPr>
            </w:pPr>
            <w:r>
              <w:rPr>
                <w:b/>
                <w:bCs/>
                <w:sz w:val="20"/>
                <w:szCs w:val="20"/>
              </w:rPr>
              <w:t>Participantes</w:t>
            </w:r>
          </w:p>
        </w:tc>
        <w:tc>
          <w:tcPr>
            <w:tcW w:w="3575" w:type="dxa"/>
            <w:tcBorders>
              <w:top w:val="single" w:sz="8" w:space="0" w:color="000000"/>
              <w:left w:val="single" w:sz="8" w:space="0" w:color="000000"/>
              <w:bottom w:val="single" w:sz="8" w:space="0" w:color="000000"/>
              <w:right w:val="single" w:sz="8" w:space="0" w:color="000000"/>
            </w:tcBorders>
            <w:shd w:val="clear" w:color="auto" w:fill="D9D9D9"/>
          </w:tcPr>
          <w:p w14:paraId="2F6751CE" w14:textId="77777777" w:rsidR="00D17B12" w:rsidRDefault="007526ED">
            <w:pPr>
              <w:spacing w:line="240" w:lineRule="auto"/>
              <w:jc w:val="center"/>
              <w:rPr>
                <w:b/>
                <w:bCs/>
                <w:sz w:val="20"/>
                <w:szCs w:val="20"/>
              </w:rPr>
            </w:pPr>
            <w:r>
              <w:rPr>
                <w:b/>
                <w:bCs/>
                <w:sz w:val="20"/>
                <w:szCs w:val="20"/>
              </w:rPr>
              <w:t>Objetivo / Principales acuerdos</w:t>
            </w:r>
          </w:p>
        </w:tc>
      </w:tr>
      <w:tr w:rsidR="00D17B12" w14:paraId="58D146E8" w14:textId="77777777">
        <w:trPr>
          <w:trHeight w:val="1834"/>
        </w:trPr>
        <w:tc>
          <w:tcPr>
            <w:tcW w:w="463" w:type="dxa"/>
            <w:tcBorders>
              <w:top w:val="single" w:sz="8" w:space="0" w:color="000000"/>
              <w:left w:val="single" w:sz="8" w:space="0" w:color="000000"/>
              <w:bottom w:val="single" w:sz="8" w:space="0" w:color="000000"/>
              <w:right w:val="single" w:sz="8" w:space="0" w:color="000000"/>
            </w:tcBorders>
          </w:tcPr>
          <w:p w14:paraId="654FAF00" w14:textId="77777777" w:rsidR="00D17B12" w:rsidRDefault="007526ED">
            <w:pPr>
              <w:spacing w:line="240" w:lineRule="auto"/>
              <w:jc w:val="center"/>
              <w:rPr>
                <w:sz w:val="20"/>
                <w:szCs w:val="20"/>
              </w:rPr>
            </w:pPr>
            <w:r>
              <w:rPr>
                <w:sz w:val="20"/>
                <w:szCs w:val="20"/>
              </w:rPr>
              <w:t>1</w:t>
            </w:r>
          </w:p>
        </w:tc>
        <w:tc>
          <w:tcPr>
            <w:tcW w:w="852" w:type="dxa"/>
            <w:tcBorders>
              <w:top w:val="single" w:sz="8" w:space="0" w:color="000000"/>
              <w:left w:val="single" w:sz="8" w:space="0" w:color="000000"/>
              <w:bottom w:val="single" w:sz="8" w:space="0" w:color="000000"/>
              <w:right w:val="single" w:sz="8" w:space="0" w:color="000000"/>
            </w:tcBorders>
          </w:tcPr>
          <w:p w14:paraId="3CF98245" w14:textId="77777777" w:rsidR="00D17B12" w:rsidRDefault="007526ED">
            <w:pPr>
              <w:spacing w:line="240" w:lineRule="auto"/>
              <w:jc w:val="center"/>
              <w:rPr>
                <w:sz w:val="20"/>
                <w:szCs w:val="20"/>
              </w:rPr>
            </w:pPr>
            <w:r>
              <w:rPr>
                <w:sz w:val="20"/>
                <w:szCs w:val="20"/>
              </w:rPr>
              <w:t>12/05</w:t>
            </w:r>
          </w:p>
        </w:tc>
        <w:tc>
          <w:tcPr>
            <w:tcW w:w="1755" w:type="dxa"/>
            <w:tcBorders>
              <w:top w:val="single" w:sz="8" w:space="0" w:color="000000"/>
              <w:left w:val="single" w:sz="8" w:space="0" w:color="000000"/>
              <w:bottom w:val="single" w:sz="8" w:space="0" w:color="000000"/>
              <w:right w:val="single" w:sz="8" w:space="0" w:color="000000"/>
            </w:tcBorders>
          </w:tcPr>
          <w:p w14:paraId="4B0760CA" w14:textId="77777777" w:rsidR="00D17B12" w:rsidRDefault="007526ED">
            <w:pPr>
              <w:spacing w:line="240" w:lineRule="auto"/>
              <w:jc w:val="center"/>
              <w:rPr>
                <w:sz w:val="20"/>
                <w:szCs w:val="20"/>
              </w:rPr>
            </w:pPr>
            <w:r>
              <w:rPr>
                <w:sz w:val="20"/>
                <w:szCs w:val="20"/>
              </w:rPr>
              <w:t>Mesa Ejecutiva para la Promoción del Perú como Destino de Locaciones Fílmicas</w:t>
            </w:r>
          </w:p>
        </w:tc>
        <w:tc>
          <w:tcPr>
            <w:tcW w:w="2380" w:type="dxa"/>
            <w:tcBorders>
              <w:top w:val="single" w:sz="8" w:space="0" w:color="000000"/>
              <w:left w:val="single" w:sz="8" w:space="0" w:color="000000"/>
              <w:bottom w:val="single" w:sz="8" w:space="0" w:color="000000"/>
              <w:right w:val="single" w:sz="8" w:space="0" w:color="000000"/>
            </w:tcBorders>
          </w:tcPr>
          <w:p w14:paraId="75190969" w14:textId="77777777" w:rsidR="00D17B12" w:rsidRDefault="007526ED">
            <w:pPr>
              <w:spacing w:line="240" w:lineRule="auto"/>
              <w:jc w:val="center"/>
              <w:rPr>
                <w:sz w:val="20"/>
                <w:szCs w:val="20"/>
              </w:rPr>
            </w:pPr>
            <w:r>
              <w:rPr>
                <w:sz w:val="20"/>
                <w:szCs w:val="20"/>
              </w:rPr>
              <w:t>MEF, SUNAT, MINCETUR, PROMPERÚ, Ministerio de Cultura (DGIA y DAFO, con sus respectivos asesores)</w:t>
            </w:r>
          </w:p>
        </w:tc>
        <w:tc>
          <w:tcPr>
            <w:tcW w:w="3575" w:type="dxa"/>
            <w:tcBorders>
              <w:top w:val="single" w:sz="8" w:space="0" w:color="000000"/>
              <w:left w:val="single" w:sz="8" w:space="0" w:color="000000"/>
              <w:bottom w:val="single" w:sz="8" w:space="0" w:color="000000"/>
              <w:right w:val="single" w:sz="8" w:space="0" w:color="000000"/>
            </w:tcBorders>
          </w:tcPr>
          <w:p w14:paraId="5C8AEDCA" w14:textId="77777777" w:rsidR="00D17B12" w:rsidRDefault="007526ED">
            <w:pPr>
              <w:spacing w:line="240" w:lineRule="auto"/>
              <w:jc w:val="center"/>
              <w:rPr>
                <w:sz w:val="20"/>
                <w:szCs w:val="20"/>
              </w:rPr>
            </w:pPr>
            <w:r>
              <w:rPr>
                <w:sz w:val="20"/>
                <w:szCs w:val="20"/>
              </w:rPr>
              <w:t>Reactivar las coordinaciones interinstitucionales en el marco de la Mesa Ejecutiva, considerando que la Ley N.° 32309 establece la Comisión Fílmica a cargo de PROMPERÚ (art. 10.3).</w:t>
            </w:r>
          </w:p>
        </w:tc>
      </w:tr>
      <w:tr w:rsidR="00D17B12" w14:paraId="36BC444A" w14:textId="77777777">
        <w:trPr>
          <w:trHeight w:val="2244"/>
        </w:trPr>
        <w:tc>
          <w:tcPr>
            <w:tcW w:w="463" w:type="dxa"/>
            <w:tcBorders>
              <w:top w:val="single" w:sz="8" w:space="0" w:color="000000"/>
              <w:left w:val="single" w:sz="8" w:space="0" w:color="000000"/>
              <w:bottom w:val="single" w:sz="8" w:space="0" w:color="000000"/>
              <w:right w:val="single" w:sz="8" w:space="0" w:color="000000"/>
            </w:tcBorders>
          </w:tcPr>
          <w:p w14:paraId="6F9A1B07" w14:textId="77777777" w:rsidR="00D17B12" w:rsidRDefault="007526ED">
            <w:pPr>
              <w:spacing w:line="240" w:lineRule="auto"/>
              <w:jc w:val="center"/>
              <w:rPr>
                <w:sz w:val="20"/>
                <w:szCs w:val="20"/>
              </w:rPr>
            </w:pPr>
            <w:r>
              <w:rPr>
                <w:sz w:val="20"/>
                <w:szCs w:val="20"/>
              </w:rPr>
              <w:t>2</w:t>
            </w:r>
          </w:p>
        </w:tc>
        <w:tc>
          <w:tcPr>
            <w:tcW w:w="852" w:type="dxa"/>
            <w:tcBorders>
              <w:top w:val="single" w:sz="8" w:space="0" w:color="000000"/>
              <w:left w:val="single" w:sz="8" w:space="0" w:color="000000"/>
              <w:bottom w:val="single" w:sz="8" w:space="0" w:color="000000"/>
              <w:right w:val="single" w:sz="8" w:space="0" w:color="000000"/>
            </w:tcBorders>
          </w:tcPr>
          <w:p w14:paraId="060BD934" w14:textId="77777777" w:rsidR="00D17B12" w:rsidRDefault="007526ED">
            <w:pPr>
              <w:spacing w:line="240" w:lineRule="auto"/>
              <w:jc w:val="center"/>
              <w:rPr>
                <w:sz w:val="20"/>
                <w:szCs w:val="20"/>
              </w:rPr>
            </w:pPr>
            <w:r>
              <w:rPr>
                <w:sz w:val="20"/>
                <w:szCs w:val="20"/>
              </w:rPr>
              <w:t>20/05</w:t>
            </w:r>
          </w:p>
        </w:tc>
        <w:tc>
          <w:tcPr>
            <w:tcW w:w="1755" w:type="dxa"/>
            <w:tcBorders>
              <w:top w:val="single" w:sz="8" w:space="0" w:color="000000"/>
              <w:left w:val="single" w:sz="8" w:space="0" w:color="000000"/>
              <w:bottom w:val="single" w:sz="8" w:space="0" w:color="000000"/>
              <w:right w:val="single" w:sz="8" w:space="0" w:color="000000"/>
            </w:tcBorders>
          </w:tcPr>
          <w:p w14:paraId="0F984489" w14:textId="77777777" w:rsidR="00D17B12" w:rsidRDefault="007526ED">
            <w:pPr>
              <w:spacing w:line="240" w:lineRule="auto"/>
              <w:jc w:val="center"/>
              <w:rPr>
                <w:sz w:val="20"/>
                <w:szCs w:val="20"/>
              </w:rPr>
            </w:pPr>
            <w:r>
              <w:rPr>
                <w:sz w:val="20"/>
                <w:szCs w:val="20"/>
              </w:rPr>
              <w:t>Invitación de PROMPERÚ</w:t>
            </w:r>
          </w:p>
        </w:tc>
        <w:tc>
          <w:tcPr>
            <w:tcW w:w="2380" w:type="dxa"/>
            <w:tcBorders>
              <w:top w:val="single" w:sz="8" w:space="0" w:color="000000"/>
              <w:left w:val="single" w:sz="8" w:space="0" w:color="000000"/>
              <w:bottom w:val="single" w:sz="8" w:space="0" w:color="000000"/>
              <w:right w:val="single" w:sz="8" w:space="0" w:color="000000"/>
            </w:tcBorders>
          </w:tcPr>
          <w:p w14:paraId="5F89E86D" w14:textId="77777777" w:rsidR="00D17B12" w:rsidRDefault="007526ED">
            <w:pPr>
              <w:spacing w:line="240" w:lineRule="auto"/>
              <w:jc w:val="center"/>
              <w:rPr>
                <w:sz w:val="20"/>
                <w:szCs w:val="20"/>
              </w:rPr>
            </w:pPr>
            <w:r>
              <w:rPr>
                <w:sz w:val="20"/>
                <w:szCs w:val="20"/>
              </w:rPr>
              <w:t>PROMPERÚ, MEF, SUNAT, SERNANP, MTPE, Cancillería y Ministerio de Cultura (DGIA y DAFO, con sus respectivos asesores)</w:t>
            </w:r>
          </w:p>
        </w:tc>
        <w:tc>
          <w:tcPr>
            <w:tcW w:w="3575" w:type="dxa"/>
            <w:tcBorders>
              <w:top w:val="single" w:sz="8" w:space="0" w:color="000000"/>
              <w:left w:val="single" w:sz="8" w:space="0" w:color="000000"/>
              <w:bottom w:val="single" w:sz="8" w:space="0" w:color="000000"/>
              <w:right w:val="single" w:sz="8" w:space="0" w:color="000000"/>
            </w:tcBorders>
          </w:tcPr>
          <w:p w14:paraId="48A68154" w14:textId="77777777" w:rsidR="00D17B12" w:rsidRDefault="007526ED">
            <w:pPr>
              <w:spacing w:line="240" w:lineRule="auto"/>
              <w:jc w:val="center"/>
              <w:rPr>
                <w:sz w:val="20"/>
                <w:szCs w:val="20"/>
              </w:rPr>
            </w:pPr>
            <w:r>
              <w:rPr>
                <w:sz w:val="20"/>
                <w:szCs w:val="20"/>
              </w:rPr>
              <w:t>PROMPERÚ propuso la creación de un grupo de trabajo sobre la reglamentación del artículo 10.3 de la Ley N.° 32309. PROMPERÚ destacó la importancia de contar con una comisión fílmica para atraer inversión y turismo cinematográfico. Se acordó mantener la coordinación a través de la Mesa Ejecutiva.</w:t>
            </w:r>
          </w:p>
        </w:tc>
      </w:tr>
      <w:tr w:rsidR="00D17B12" w14:paraId="0A8E7330" w14:textId="77777777">
        <w:trPr>
          <w:trHeight w:val="1875"/>
        </w:trPr>
        <w:tc>
          <w:tcPr>
            <w:tcW w:w="463" w:type="dxa"/>
            <w:tcBorders>
              <w:top w:val="single" w:sz="8" w:space="0" w:color="000000"/>
              <w:left w:val="single" w:sz="8" w:space="0" w:color="000000"/>
              <w:bottom w:val="single" w:sz="8" w:space="0" w:color="000000"/>
              <w:right w:val="single" w:sz="8" w:space="0" w:color="000000"/>
            </w:tcBorders>
          </w:tcPr>
          <w:p w14:paraId="6F949D60" w14:textId="77777777" w:rsidR="00D17B12" w:rsidRDefault="007526ED">
            <w:pPr>
              <w:spacing w:line="240" w:lineRule="auto"/>
              <w:jc w:val="center"/>
              <w:rPr>
                <w:sz w:val="20"/>
                <w:szCs w:val="20"/>
              </w:rPr>
            </w:pPr>
            <w:r>
              <w:rPr>
                <w:sz w:val="20"/>
                <w:szCs w:val="20"/>
              </w:rPr>
              <w:t>3</w:t>
            </w:r>
          </w:p>
        </w:tc>
        <w:tc>
          <w:tcPr>
            <w:tcW w:w="852" w:type="dxa"/>
            <w:tcBorders>
              <w:top w:val="single" w:sz="8" w:space="0" w:color="000000"/>
              <w:left w:val="single" w:sz="8" w:space="0" w:color="000000"/>
              <w:bottom w:val="single" w:sz="8" w:space="0" w:color="000000"/>
              <w:right w:val="single" w:sz="8" w:space="0" w:color="000000"/>
            </w:tcBorders>
          </w:tcPr>
          <w:p w14:paraId="33666B8E" w14:textId="77777777" w:rsidR="00D17B12" w:rsidRDefault="007526ED">
            <w:pPr>
              <w:spacing w:line="240" w:lineRule="auto"/>
              <w:jc w:val="center"/>
              <w:rPr>
                <w:sz w:val="20"/>
                <w:szCs w:val="20"/>
              </w:rPr>
            </w:pPr>
            <w:r>
              <w:rPr>
                <w:sz w:val="20"/>
                <w:szCs w:val="20"/>
              </w:rPr>
              <w:t>12/06</w:t>
            </w:r>
          </w:p>
        </w:tc>
        <w:tc>
          <w:tcPr>
            <w:tcW w:w="1755" w:type="dxa"/>
            <w:tcBorders>
              <w:top w:val="single" w:sz="8" w:space="0" w:color="000000"/>
              <w:left w:val="single" w:sz="8" w:space="0" w:color="000000"/>
              <w:bottom w:val="single" w:sz="8" w:space="0" w:color="000000"/>
              <w:right w:val="single" w:sz="8" w:space="0" w:color="000000"/>
            </w:tcBorders>
          </w:tcPr>
          <w:p w14:paraId="7B38EDD7" w14:textId="77777777" w:rsidR="00D17B12" w:rsidRDefault="007526ED">
            <w:pPr>
              <w:spacing w:line="240" w:lineRule="auto"/>
              <w:jc w:val="center"/>
              <w:rPr>
                <w:sz w:val="20"/>
                <w:szCs w:val="20"/>
              </w:rPr>
            </w:pPr>
            <w:r>
              <w:rPr>
                <w:sz w:val="20"/>
                <w:szCs w:val="20"/>
              </w:rPr>
              <w:t>Mesa Ejecutiva para la Promoción del Perú como Destino de Locaciones Fílmicas</w:t>
            </w:r>
          </w:p>
        </w:tc>
        <w:tc>
          <w:tcPr>
            <w:tcW w:w="2380" w:type="dxa"/>
            <w:tcBorders>
              <w:top w:val="single" w:sz="8" w:space="0" w:color="000000"/>
              <w:left w:val="single" w:sz="8" w:space="0" w:color="000000"/>
              <w:bottom w:val="single" w:sz="8" w:space="0" w:color="000000"/>
              <w:right w:val="single" w:sz="8" w:space="0" w:color="000000"/>
            </w:tcBorders>
          </w:tcPr>
          <w:p w14:paraId="52094757" w14:textId="77777777" w:rsidR="00D17B12" w:rsidRDefault="007526ED">
            <w:pPr>
              <w:spacing w:line="240" w:lineRule="auto"/>
              <w:jc w:val="center"/>
              <w:rPr>
                <w:sz w:val="20"/>
                <w:szCs w:val="20"/>
              </w:rPr>
            </w:pPr>
            <w:r>
              <w:rPr>
                <w:sz w:val="20"/>
                <w:szCs w:val="20"/>
              </w:rPr>
              <w:t>MEF, SUNAT, MINCETUR, PROMPERÚ, Ministerio de Cultura (DGIA y DAFO)</w:t>
            </w:r>
          </w:p>
        </w:tc>
        <w:tc>
          <w:tcPr>
            <w:tcW w:w="3575" w:type="dxa"/>
            <w:tcBorders>
              <w:top w:val="single" w:sz="8" w:space="0" w:color="000000"/>
              <w:left w:val="single" w:sz="8" w:space="0" w:color="000000"/>
              <w:bottom w:val="single" w:sz="8" w:space="0" w:color="000000"/>
              <w:right w:val="single" w:sz="8" w:space="0" w:color="000000"/>
            </w:tcBorders>
          </w:tcPr>
          <w:p w14:paraId="4902C6B9" w14:textId="77777777" w:rsidR="00D17B12" w:rsidRDefault="007526ED">
            <w:pPr>
              <w:spacing w:line="240" w:lineRule="auto"/>
              <w:jc w:val="center"/>
              <w:rPr>
                <w:sz w:val="20"/>
                <w:szCs w:val="20"/>
              </w:rPr>
            </w:pPr>
            <w:r>
              <w:rPr>
                <w:sz w:val="20"/>
                <w:szCs w:val="20"/>
              </w:rPr>
              <w:t>PROMPERÚ precisó que su competencia en el marco de la comisión fílmica se circunscribe a la promoción en el extranjero de locaciones turísticas para rodaje en el país.</w:t>
            </w:r>
          </w:p>
        </w:tc>
      </w:tr>
      <w:tr w:rsidR="00D17B12" w14:paraId="25D485D8" w14:textId="77777777">
        <w:trPr>
          <w:trHeight w:val="2074"/>
        </w:trPr>
        <w:tc>
          <w:tcPr>
            <w:tcW w:w="463" w:type="dxa"/>
            <w:tcBorders>
              <w:top w:val="single" w:sz="8" w:space="0" w:color="000000"/>
              <w:left w:val="single" w:sz="8" w:space="0" w:color="000000"/>
              <w:bottom w:val="single" w:sz="8" w:space="0" w:color="000000"/>
              <w:right w:val="single" w:sz="8" w:space="0" w:color="000000"/>
            </w:tcBorders>
          </w:tcPr>
          <w:p w14:paraId="15E5B2F6" w14:textId="77777777" w:rsidR="00D17B12" w:rsidRDefault="007526ED">
            <w:pPr>
              <w:spacing w:line="240" w:lineRule="auto"/>
              <w:jc w:val="center"/>
              <w:rPr>
                <w:sz w:val="20"/>
                <w:szCs w:val="20"/>
              </w:rPr>
            </w:pPr>
            <w:r>
              <w:rPr>
                <w:sz w:val="20"/>
                <w:szCs w:val="20"/>
              </w:rPr>
              <w:t>4</w:t>
            </w:r>
          </w:p>
        </w:tc>
        <w:tc>
          <w:tcPr>
            <w:tcW w:w="852" w:type="dxa"/>
            <w:tcBorders>
              <w:top w:val="single" w:sz="8" w:space="0" w:color="000000"/>
              <w:left w:val="single" w:sz="8" w:space="0" w:color="000000"/>
              <w:bottom w:val="single" w:sz="8" w:space="0" w:color="000000"/>
              <w:right w:val="single" w:sz="8" w:space="0" w:color="000000"/>
            </w:tcBorders>
          </w:tcPr>
          <w:p w14:paraId="280F3586" w14:textId="77777777" w:rsidR="00D17B12" w:rsidRDefault="007526ED">
            <w:pPr>
              <w:spacing w:line="240" w:lineRule="auto"/>
              <w:jc w:val="center"/>
              <w:rPr>
                <w:sz w:val="20"/>
                <w:szCs w:val="20"/>
              </w:rPr>
            </w:pPr>
            <w:r>
              <w:rPr>
                <w:sz w:val="20"/>
                <w:szCs w:val="20"/>
              </w:rPr>
              <w:t>13/06</w:t>
            </w:r>
          </w:p>
        </w:tc>
        <w:tc>
          <w:tcPr>
            <w:tcW w:w="1755" w:type="dxa"/>
            <w:tcBorders>
              <w:top w:val="single" w:sz="8" w:space="0" w:color="000000"/>
              <w:left w:val="single" w:sz="8" w:space="0" w:color="000000"/>
              <w:bottom w:val="single" w:sz="8" w:space="0" w:color="000000"/>
              <w:right w:val="single" w:sz="8" w:space="0" w:color="000000"/>
            </w:tcBorders>
          </w:tcPr>
          <w:p w14:paraId="6A852B52" w14:textId="77777777" w:rsidR="00D17B12" w:rsidRDefault="007526ED">
            <w:pPr>
              <w:spacing w:line="240" w:lineRule="auto"/>
              <w:jc w:val="center"/>
              <w:rPr>
                <w:sz w:val="20"/>
                <w:szCs w:val="20"/>
              </w:rPr>
            </w:pPr>
            <w:r>
              <w:rPr>
                <w:sz w:val="20"/>
                <w:szCs w:val="20"/>
              </w:rPr>
              <w:t>Mesa Ejecutiva para la Promoción del Perú como Destino de Locaciones Fílmicas</w:t>
            </w:r>
          </w:p>
        </w:tc>
        <w:tc>
          <w:tcPr>
            <w:tcW w:w="2380" w:type="dxa"/>
            <w:tcBorders>
              <w:top w:val="single" w:sz="8" w:space="0" w:color="000000"/>
              <w:left w:val="single" w:sz="8" w:space="0" w:color="000000"/>
              <w:bottom w:val="single" w:sz="8" w:space="0" w:color="000000"/>
              <w:right w:val="single" w:sz="8" w:space="0" w:color="000000"/>
            </w:tcBorders>
          </w:tcPr>
          <w:p w14:paraId="11DBDA3C" w14:textId="77777777" w:rsidR="00D17B12" w:rsidRDefault="007526ED">
            <w:pPr>
              <w:spacing w:line="240" w:lineRule="auto"/>
              <w:jc w:val="center"/>
              <w:rPr>
                <w:sz w:val="20"/>
                <w:szCs w:val="20"/>
              </w:rPr>
            </w:pPr>
            <w:r>
              <w:rPr>
                <w:sz w:val="20"/>
                <w:szCs w:val="20"/>
              </w:rPr>
              <w:t>PROMPERÚ, MEF, SUNAT, SERNANP, MTPE, Cancillería, representantes del sector cinematográfico y audiovisual, y Ministerio de Cultura (DGIA y DAFO)</w:t>
            </w:r>
          </w:p>
        </w:tc>
        <w:tc>
          <w:tcPr>
            <w:tcW w:w="3575" w:type="dxa"/>
            <w:tcBorders>
              <w:top w:val="single" w:sz="8" w:space="0" w:color="000000"/>
              <w:left w:val="single" w:sz="8" w:space="0" w:color="000000"/>
              <w:bottom w:val="single" w:sz="8" w:space="0" w:color="000000"/>
              <w:right w:val="single" w:sz="8" w:space="0" w:color="000000"/>
            </w:tcBorders>
          </w:tcPr>
          <w:p w14:paraId="3A4FE36C" w14:textId="77777777" w:rsidR="00D17B12" w:rsidRDefault="007526ED">
            <w:pPr>
              <w:spacing w:line="240" w:lineRule="auto"/>
              <w:jc w:val="center"/>
              <w:rPr>
                <w:sz w:val="20"/>
                <w:szCs w:val="20"/>
              </w:rPr>
            </w:pPr>
            <w:r>
              <w:rPr>
                <w:sz w:val="20"/>
                <w:szCs w:val="20"/>
              </w:rPr>
              <w:t>Se ratificaron las competencias de PROMPERÚ señaladas en la reunión del 12 de junio.</w:t>
            </w:r>
          </w:p>
        </w:tc>
      </w:tr>
      <w:tr w:rsidR="00D17B12" w14:paraId="38BFC5FF" w14:textId="77777777">
        <w:trPr>
          <w:trHeight w:val="934"/>
        </w:trPr>
        <w:tc>
          <w:tcPr>
            <w:tcW w:w="463" w:type="dxa"/>
            <w:tcBorders>
              <w:top w:val="single" w:sz="8" w:space="0" w:color="000000"/>
              <w:left w:val="single" w:sz="8" w:space="0" w:color="000000"/>
              <w:bottom w:val="single" w:sz="8" w:space="0" w:color="000000"/>
              <w:right w:val="single" w:sz="8" w:space="0" w:color="000000"/>
            </w:tcBorders>
          </w:tcPr>
          <w:p w14:paraId="651F809D" w14:textId="77777777" w:rsidR="00D17B12" w:rsidRDefault="007526ED">
            <w:pPr>
              <w:spacing w:line="240" w:lineRule="auto"/>
              <w:jc w:val="center"/>
              <w:rPr>
                <w:sz w:val="20"/>
                <w:szCs w:val="20"/>
              </w:rPr>
            </w:pPr>
            <w:r>
              <w:rPr>
                <w:sz w:val="20"/>
                <w:szCs w:val="20"/>
              </w:rPr>
              <w:t>5</w:t>
            </w:r>
          </w:p>
        </w:tc>
        <w:tc>
          <w:tcPr>
            <w:tcW w:w="852" w:type="dxa"/>
            <w:tcBorders>
              <w:top w:val="single" w:sz="8" w:space="0" w:color="000000"/>
              <w:left w:val="single" w:sz="8" w:space="0" w:color="000000"/>
              <w:bottom w:val="single" w:sz="8" w:space="0" w:color="000000"/>
              <w:right w:val="single" w:sz="8" w:space="0" w:color="000000"/>
            </w:tcBorders>
          </w:tcPr>
          <w:p w14:paraId="0495FC60" w14:textId="77777777" w:rsidR="00D17B12" w:rsidRDefault="007526ED">
            <w:pPr>
              <w:spacing w:line="240" w:lineRule="auto"/>
              <w:jc w:val="center"/>
              <w:rPr>
                <w:sz w:val="20"/>
                <w:szCs w:val="20"/>
              </w:rPr>
            </w:pPr>
            <w:r>
              <w:rPr>
                <w:sz w:val="20"/>
                <w:szCs w:val="20"/>
              </w:rPr>
              <w:t>10/07</w:t>
            </w:r>
          </w:p>
        </w:tc>
        <w:tc>
          <w:tcPr>
            <w:tcW w:w="1755" w:type="dxa"/>
            <w:tcBorders>
              <w:top w:val="single" w:sz="8" w:space="0" w:color="000000"/>
              <w:left w:val="single" w:sz="8" w:space="0" w:color="000000"/>
              <w:bottom w:val="single" w:sz="8" w:space="0" w:color="000000"/>
              <w:right w:val="single" w:sz="8" w:space="0" w:color="000000"/>
            </w:tcBorders>
          </w:tcPr>
          <w:p w14:paraId="08FFB397" w14:textId="77777777" w:rsidR="00D17B12" w:rsidRDefault="007526ED">
            <w:pPr>
              <w:spacing w:line="240" w:lineRule="auto"/>
              <w:jc w:val="center"/>
              <w:rPr>
                <w:sz w:val="20"/>
                <w:szCs w:val="20"/>
              </w:rPr>
            </w:pPr>
            <w:r>
              <w:rPr>
                <w:sz w:val="20"/>
                <w:szCs w:val="20"/>
              </w:rPr>
              <w:t>Reunión técnica a solicitud de SUNAT</w:t>
            </w:r>
          </w:p>
        </w:tc>
        <w:tc>
          <w:tcPr>
            <w:tcW w:w="2380" w:type="dxa"/>
            <w:tcBorders>
              <w:top w:val="single" w:sz="8" w:space="0" w:color="000000"/>
              <w:left w:val="single" w:sz="8" w:space="0" w:color="000000"/>
              <w:bottom w:val="single" w:sz="8" w:space="0" w:color="000000"/>
              <w:right w:val="single" w:sz="8" w:space="0" w:color="000000"/>
            </w:tcBorders>
          </w:tcPr>
          <w:p w14:paraId="54994A9F" w14:textId="77777777" w:rsidR="00D17B12" w:rsidRDefault="007526ED">
            <w:pPr>
              <w:spacing w:line="240" w:lineRule="auto"/>
              <w:jc w:val="center"/>
              <w:rPr>
                <w:sz w:val="20"/>
                <w:szCs w:val="20"/>
              </w:rPr>
            </w:pPr>
            <w:r>
              <w:rPr>
                <w:sz w:val="20"/>
                <w:szCs w:val="20"/>
              </w:rPr>
              <w:t>SUNAT y DAFO</w:t>
            </w:r>
          </w:p>
        </w:tc>
        <w:tc>
          <w:tcPr>
            <w:tcW w:w="3575" w:type="dxa"/>
            <w:tcBorders>
              <w:top w:val="single" w:sz="8" w:space="0" w:color="000000"/>
              <w:left w:val="single" w:sz="8" w:space="0" w:color="000000"/>
              <w:bottom w:val="single" w:sz="8" w:space="0" w:color="000000"/>
              <w:right w:val="single" w:sz="8" w:space="0" w:color="000000"/>
            </w:tcBorders>
          </w:tcPr>
          <w:p w14:paraId="17D09A65" w14:textId="77777777" w:rsidR="00D17B12" w:rsidRDefault="007526ED">
            <w:pPr>
              <w:spacing w:line="240" w:lineRule="auto"/>
              <w:jc w:val="center"/>
              <w:rPr>
                <w:sz w:val="20"/>
                <w:szCs w:val="20"/>
              </w:rPr>
            </w:pPr>
            <w:r>
              <w:rPr>
                <w:sz w:val="20"/>
                <w:szCs w:val="20"/>
              </w:rPr>
              <w:t>Intercambio de información técnica sobre la reglamentación de los artículos 16 y 18 de la Ley N.° 32309.</w:t>
            </w:r>
          </w:p>
        </w:tc>
      </w:tr>
      <w:tr w:rsidR="00D17B12" w14:paraId="5A2DBFF7" w14:textId="77777777">
        <w:trPr>
          <w:trHeight w:val="2735"/>
        </w:trPr>
        <w:tc>
          <w:tcPr>
            <w:tcW w:w="463" w:type="dxa"/>
            <w:tcBorders>
              <w:top w:val="single" w:sz="8" w:space="0" w:color="000000"/>
              <w:left w:val="single" w:sz="8" w:space="0" w:color="000000"/>
              <w:bottom w:val="single" w:sz="8" w:space="0" w:color="000000"/>
              <w:right w:val="single" w:sz="8" w:space="0" w:color="000000"/>
            </w:tcBorders>
          </w:tcPr>
          <w:p w14:paraId="301B8F0B" w14:textId="77777777" w:rsidR="00D17B12" w:rsidRDefault="007526ED">
            <w:pPr>
              <w:spacing w:line="240" w:lineRule="auto"/>
              <w:jc w:val="center"/>
              <w:rPr>
                <w:sz w:val="20"/>
                <w:szCs w:val="20"/>
              </w:rPr>
            </w:pPr>
            <w:r>
              <w:rPr>
                <w:sz w:val="20"/>
                <w:szCs w:val="20"/>
              </w:rPr>
              <w:t>6</w:t>
            </w:r>
          </w:p>
        </w:tc>
        <w:tc>
          <w:tcPr>
            <w:tcW w:w="852" w:type="dxa"/>
            <w:tcBorders>
              <w:top w:val="single" w:sz="8" w:space="0" w:color="000000"/>
              <w:left w:val="single" w:sz="8" w:space="0" w:color="000000"/>
              <w:bottom w:val="single" w:sz="8" w:space="0" w:color="000000"/>
              <w:right w:val="single" w:sz="8" w:space="0" w:color="000000"/>
            </w:tcBorders>
          </w:tcPr>
          <w:p w14:paraId="2C4B76CF" w14:textId="77777777" w:rsidR="00D17B12" w:rsidRDefault="007526ED">
            <w:pPr>
              <w:spacing w:line="240" w:lineRule="auto"/>
              <w:jc w:val="center"/>
              <w:rPr>
                <w:sz w:val="20"/>
                <w:szCs w:val="20"/>
              </w:rPr>
            </w:pPr>
            <w:r>
              <w:rPr>
                <w:sz w:val="20"/>
                <w:szCs w:val="20"/>
              </w:rPr>
              <w:t>17/07</w:t>
            </w:r>
          </w:p>
        </w:tc>
        <w:tc>
          <w:tcPr>
            <w:tcW w:w="1755" w:type="dxa"/>
            <w:tcBorders>
              <w:top w:val="single" w:sz="8" w:space="0" w:color="000000"/>
              <w:left w:val="single" w:sz="8" w:space="0" w:color="000000"/>
              <w:bottom w:val="single" w:sz="8" w:space="0" w:color="000000"/>
              <w:right w:val="single" w:sz="8" w:space="0" w:color="000000"/>
            </w:tcBorders>
          </w:tcPr>
          <w:p w14:paraId="6619A68F" w14:textId="77777777" w:rsidR="00D17B12" w:rsidRDefault="007526ED">
            <w:pPr>
              <w:spacing w:line="240" w:lineRule="auto"/>
              <w:jc w:val="center"/>
              <w:rPr>
                <w:sz w:val="20"/>
                <w:szCs w:val="20"/>
              </w:rPr>
            </w:pPr>
            <w:r>
              <w:rPr>
                <w:sz w:val="20"/>
                <w:szCs w:val="20"/>
              </w:rPr>
              <w:t>Reunión convocada por el Ministerio de Cultura</w:t>
            </w:r>
          </w:p>
        </w:tc>
        <w:tc>
          <w:tcPr>
            <w:tcW w:w="2380" w:type="dxa"/>
            <w:tcBorders>
              <w:top w:val="single" w:sz="8" w:space="0" w:color="000000"/>
              <w:left w:val="single" w:sz="8" w:space="0" w:color="000000"/>
              <w:bottom w:val="single" w:sz="8" w:space="0" w:color="000000"/>
              <w:right w:val="single" w:sz="8" w:space="0" w:color="000000"/>
            </w:tcBorders>
          </w:tcPr>
          <w:p w14:paraId="0117A11B" w14:textId="77777777" w:rsidR="00D17B12" w:rsidRDefault="007526ED">
            <w:pPr>
              <w:spacing w:line="240" w:lineRule="auto"/>
              <w:jc w:val="center"/>
              <w:rPr>
                <w:sz w:val="20"/>
                <w:szCs w:val="20"/>
              </w:rPr>
            </w:pPr>
            <w:r>
              <w:rPr>
                <w:sz w:val="20"/>
                <w:szCs w:val="20"/>
              </w:rPr>
              <w:t>DAFO, DGIA, MEF, SUNAT y PROMPERÚ</w:t>
            </w:r>
          </w:p>
        </w:tc>
        <w:tc>
          <w:tcPr>
            <w:tcW w:w="3575" w:type="dxa"/>
            <w:tcBorders>
              <w:top w:val="single" w:sz="8" w:space="0" w:color="000000"/>
              <w:left w:val="single" w:sz="8" w:space="0" w:color="000000"/>
              <w:bottom w:val="single" w:sz="8" w:space="0" w:color="000000"/>
              <w:right w:val="single" w:sz="8" w:space="0" w:color="000000"/>
            </w:tcBorders>
          </w:tcPr>
          <w:p w14:paraId="028C4488" w14:textId="77777777" w:rsidR="00D17B12" w:rsidRDefault="007526ED">
            <w:pPr>
              <w:spacing w:line="240" w:lineRule="auto"/>
              <w:jc w:val="center"/>
              <w:rPr>
                <w:sz w:val="20"/>
                <w:szCs w:val="20"/>
              </w:rPr>
            </w:pPr>
            <w:r>
              <w:rPr>
                <w:sz w:val="20"/>
                <w:szCs w:val="20"/>
              </w:rPr>
              <w:t>Coordinación técnica y definición de acciones conjuntas para la reglamentación de la Ley N.° 32309. Ese mismo día, mediante Oficio N.° 149-2025-DGIA-VMPCIC, la DGIA agradeció al MEF su participación y confirmó que cada entidad reglamentará los apartados que le correspondan de la Ley N.° 32309, de acuerdo a lo coordinado en la reunión.</w:t>
            </w:r>
          </w:p>
        </w:tc>
      </w:tr>
      <w:tr w:rsidR="00D17B12" w14:paraId="42940B42" w14:textId="77777777">
        <w:trPr>
          <w:trHeight w:val="2735"/>
        </w:trPr>
        <w:tc>
          <w:tcPr>
            <w:tcW w:w="463" w:type="dxa"/>
            <w:tcBorders>
              <w:top w:val="single" w:sz="8" w:space="0" w:color="000000"/>
              <w:left w:val="single" w:sz="8" w:space="0" w:color="000000"/>
              <w:bottom w:val="single" w:sz="8" w:space="0" w:color="000000"/>
              <w:right w:val="single" w:sz="8" w:space="0" w:color="000000"/>
            </w:tcBorders>
          </w:tcPr>
          <w:p w14:paraId="282A52AA" w14:textId="77777777" w:rsidR="00D17B12" w:rsidRDefault="007526ED">
            <w:pPr>
              <w:spacing w:line="240" w:lineRule="auto"/>
              <w:jc w:val="center"/>
              <w:rPr>
                <w:sz w:val="20"/>
                <w:szCs w:val="20"/>
              </w:rPr>
            </w:pPr>
            <w:r>
              <w:rPr>
                <w:sz w:val="20"/>
                <w:szCs w:val="20"/>
              </w:rPr>
              <w:t>7</w:t>
            </w:r>
          </w:p>
        </w:tc>
        <w:tc>
          <w:tcPr>
            <w:tcW w:w="852" w:type="dxa"/>
            <w:tcBorders>
              <w:top w:val="single" w:sz="8" w:space="0" w:color="000000"/>
              <w:left w:val="single" w:sz="8" w:space="0" w:color="000000"/>
              <w:bottom w:val="single" w:sz="8" w:space="0" w:color="000000"/>
              <w:right w:val="single" w:sz="8" w:space="0" w:color="000000"/>
            </w:tcBorders>
          </w:tcPr>
          <w:p w14:paraId="7AB20C83" w14:textId="77777777" w:rsidR="00D17B12" w:rsidRDefault="007526ED">
            <w:pPr>
              <w:spacing w:line="240" w:lineRule="auto"/>
              <w:jc w:val="center"/>
              <w:rPr>
                <w:sz w:val="20"/>
                <w:szCs w:val="20"/>
              </w:rPr>
            </w:pPr>
            <w:r>
              <w:rPr>
                <w:sz w:val="20"/>
                <w:szCs w:val="20"/>
              </w:rPr>
              <w:t>30/07</w:t>
            </w:r>
          </w:p>
        </w:tc>
        <w:tc>
          <w:tcPr>
            <w:tcW w:w="1755" w:type="dxa"/>
            <w:tcBorders>
              <w:top w:val="single" w:sz="8" w:space="0" w:color="000000"/>
              <w:left w:val="single" w:sz="8" w:space="0" w:color="000000"/>
              <w:bottom w:val="single" w:sz="8" w:space="0" w:color="000000"/>
              <w:right w:val="single" w:sz="8" w:space="0" w:color="000000"/>
            </w:tcBorders>
          </w:tcPr>
          <w:p w14:paraId="1B96E5BE" w14:textId="77777777" w:rsidR="00D17B12" w:rsidRDefault="007526ED">
            <w:pPr>
              <w:spacing w:line="240" w:lineRule="auto"/>
              <w:jc w:val="center"/>
              <w:rPr>
                <w:sz w:val="20"/>
                <w:szCs w:val="20"/>
              </w:rPr>
            </w:pPr>
            <w:r>
              <w:rPr>
                <w:sz w:val="20"/>
                <w:szCs w:val="20"/>
              </w:rPr>
              <w:t>Reunión convocada por el Ministerio de Cultura a petición del MINCETUR que no pudo asistir a la reunión del 17/07</w:t>
            </w:r>
          </w:p>
        </w:tc>
        <w:tc>
          <w:tcPr>
            <w:tcW w:w="2380" w:type="dxa"/>
            <w:tcBorders>
              <w:top w:val="single" w:sz="8" w:space="0" w:color="000000"/>
              <w:left w:val="single" w:sz="8" w:space="0" w:color="000000"/>
              <w:bottom w:val="single" w:sz="8" w:space="0" w:color="000000"/>
              <w:right w:val="single" w:sz="8" w:space="0" w:color="000000"/>
            </w:tcBorders>
          </w:tcPr>
          <w:p w14:paraId="06F87016" w14:textId="77777777" w:rsidR="00D17B12" w:rsidRDefault="007526ED">
            <w:pPr>
              <w:spacing w:line="240" w:lineRule="auto"/>
              <w:jc w:val="center"/>
              <w:rPr>
                <w:sz w:val="20"/>
                <w:szCs w:val="20"/>
              </w:rPr>
            </w:pPr>
            <w:r>
              <w:rPr>
                <w:sz w:val="20"/>
                <w:szCs w:val="20"/>
              </w:rPr>
              <w:t>DAFO, DGIA, MINCETUR y PROMPERÚ</w:t>
            </w:r>
          </w:p>
        </w:tc>
        <w:tc>
          <w:tcPr>
            <w:tcW w:w="3575" w:type="dxa"/>
            <w:tcBorders>
              <w:top w:val="single" w:sz="8" w:space="0" w:color="000000"/>
              <w:left w:val="single" w:sz="8" w:space="0" w:color="000000"/>
              <w:bottom w:val="single" w:sz="8" w:space="0" w:color="000000"/>
              <w:right w:val="single" w:sz="8" w:space="0" w:color="000000"/>
            </w:tcBorders>
          </w:tcPr>
          <w:p w14:paraId="03F0A91A" w14:textId="77777777" w:rsidR="00D17B12" w:rsidRDefault="007526ED">
            <w:pPr>
              <w:spacing w:line="240" w:lineRule="auto"/>
              <w:jc w:val="center"/>
              <w:rPr>
                <w:sz w:val="20"/>
                <w:szCs w:val="20"/>
              </w:rPr>
            </w:pPr>
            <w:r>
              <w:rPr>
                <w:sz w:val="20"/>
                <w:szCs w:val="20"/>
              </w:rPr>
              <w:t>Intercambio técnico sobre la reglamentación de la Ley N.° 32309. Posteriormente, mediante Oficio N.° 160-2025-DGIA-VMPCIC (11 de agosto), la DGIA informó al MINCETUR que cada entidad reglamentará de manera independiente los apartados bajo su competencia de la Ley N.° 32309, de acuerdo a lo conversado en la reunión.</w:t>
            </w:r>
          </w:p>
        </w:tc>
      </w:tr>
    </w:tbl>
    <w:p w14:paraId="4480C163" w14:textId="77777777" w:rsidR="00D17B12" w:rsidRDefault="007526ED">
      <w:pPr>
        <w:spacing w:before="240" w:after="240" w:line="240" w:lineRule="auto"/>
        <w:jc w:val="center"/>
      </w:pPr>
      <w:r>
        <w:rPr>
          <w:sz w:val="18"/>
          <w:szCs w:val="18"/>
        </w:rPr>
        <w:t>Elaboración: DAFO (Ministerio de Cultura, 2025)</w:t>
      </w:r>
    </w:p>
    <w:p w14:paraId="1A87C7B6" w14:textId="77777777" w:rsidR="00D17B12" w:rsidRDefault="007526ED">
      <w:pPr>
        <w:spacing w:after="240" w:line="240" w:lineRule="auto"/>
        <w:jc w:val="both"/>
      </w:pPr>
      <w:r>
        <w:t>Asimismo, se realizaron múltiples reuniones de coordinación con funcionarios y servidores del Ministerio de Cultura, especialmente de la Dirección General de Industrias Culturales y Artes (DGIA), la Oficina General de Administración (OGA), la Oficina General de Asesoría Jurídica (OGAJ), la Oficina de Estudios Económicos, la Oficina General de Planeamiento y Presupuesto (OGPP), entre otros, con la finalidad de absolver dudas, intercambiar opiniones y elaborar una propuesta en consenso.</w:t>
      </w:r>
    </w:p>
    <w:p w14:paraId="6605554D" w14:textId="77777777" w:rsidR="00D17B12" w:rsidRDefault="007526ED">
      <w:pPr>
        <w:numPr>
          <w:ilvl w:val="0"/>
          <w:numId w:val="16"/>
        </w:numPr>
        <w:pBdr>
          <w:top w:val="nil"/>
          <w:left w:val="nil"/>
          <w:bottom w:val="nil"/>
          <w:right w:val="nil"/>
          <w:between w:val="nil"/>
        </w:pBdr>
        <w:spacing w:line="240" w:lineRule="auto"/>
        <w:ind w:left="567" w:hanging="567"/>
        <w:jc w:val="both"/>
        <w:rPr>
          <w:b/>
          <w:bCs/>
          <w:color w:val="000000"/>
        </w:rPr>
      </w:pPr>
      <w:r>
        <w:rPr>
          <w:b/>
          <w:bCs/>
          <w:color w:val="000000"/>
        </w:rPr>
        <w:t>DESCRIPCIÓN DEL PROYECTO NORMATIVO</w:t>
      </w:r>
    </w:p>
    <w:p w14:paraId="75A6500C" w14:textId="77777777" w:rsidR="00D17B12" w:rsidRDefault="00D17B12">
      <w:pPr>
        <w:pBdr>
          <w:top w:val="nil"/>
          <w:left w:val="nil"/>
          <w:bottom w:val="nil"/>
          <w:right w:val="nil"/>
          <w:between w:val="nil"/>
        </w:pBdr>
        <w:spacing w:line="240" w:lineRule="auto"/>
        <w:ind w:left="360"/>
        <w:jc w:val="both"/>
        <w:rPr>
          <w:color w:val="000000"/>
          <w:highlight w:val="yellow"/>
        </w:rPr>
      </w:pPr>
    </w:p>
    <w:p w14:paraId="0859DDD7" w14:textId="77777777" w:rsidR="00D17B12" w:rsidRDefault="007526ED">
      <w:pPr>
        <w:spacing w:line="240" w:lineRule="auto"/>
        <w:jc w:val="both"/>
        <w:rPr>
          <w:highlight w:val="white"/>
        </w:rPr>
      </w:pPr>
      <w:r>
        <w:rPr>
          <w:highlight w:val="white"/>
        </w:rPr>
        <w:t>El presente reglamento tiene por finalidad complementar la Ley N.° 32309, norma que establece un régimen de incentivos económicos y fiscales para las actividades cinematográficas y audiovisuales en el territorio nacional. Asimismo, la Segunda Disposición Complementaria Final amplía el ámbito de aplicación de la ley al prever disposiciones generales aplicables al ámbito de las artes y las industrias culturales. En atención a la especialidad de la materia, este reglamento se limita a regular exclusivamente lo concerniente al sector cinematográfico y audiovisual, en el marco de la competencia del Ministerio de Cultura.</w:t>
      </w:r>
    </w:p>
    <w:p w14:paraId="7AA02FC8" w14:textId="77777777" w:rsidR="00D17B12" w:rsidRDefault="007526ED">
      <w:pPr>
        <w:spacing w:before="240" w:line="240" w:lineRule="auto"/>
        <w:jc w:val="both"/>
        <w:rPr>
          <w:highlight w:val="white"/>
        </w:rPr>
      </w:pPr>
      <w:r>
        <w:rPr>
          <w:highlight w:val="white"/>
        </w:rPr>
        <w:t>Para comprender adecuadamente el enfoque de la ley, resulta necesario efectuar una precisión conceptual de índole jurídica. El artículo 1 alude tanto a incentivos como al fomento, términos que, si bien son técnicos y están relacionados, no son equivalentes. Conforme a la doctrina administrativa, el fomento constituye una categoría más amplia, dentro de la cual se encuentran los incentivos como técnica específica. En tal sentido, siguiendo a ARIÑO</w:t>
      </w:r>
      <w:r>
        <w:rPr>
          <w:highlight w:val="white"/>
          <w:vertAlign w:val="superscript"/>
        </w:rPr>
        <w:footnoteReference w:id="39"/>
      </w:r>
      <w:r>
        <w:rPr>
          <w:highlight w:val="white"/>
        </w:rPr>
        <w:t>, debe entenderse por fomento a la actividad administrativa orientada a favorecer comportamientos privados que resulten beneficiosos para el interés general, mediante instrumentos como subvenciones, beneficios fiscales, asistencia técnica, entre otros.</w:t>
      </w:r>
    </w:p>
    <w:p w14:paraId="6E561213" w14:textId="77777777" w:rsidR="00D17B12" w:rsidRDefault="007526ED">
      <w:pPr>
        <w:spacing w:before="240" w:line="240" w:lineRule="auto"/>
        <w:jc w:val="both"/>
        <w:rPr>
          <w:highlight w:val="white"/>
        </w:rPr>
      </w:pPr>
      <w:r>
        <w:rPr>
          <w:highlight w:val="white"/>
        </w:rPr>
        <w:t>Entre las características fundamentales de la actividad de fomento, destaca su finalidad teleológica. Tal como subraya la doctrina, el fomento busca estimular determinadas conductas de los particulares con el objeto de promover actividades de relevancia pública o colectiva</w:t>
      </w:r>
      <w:r>
        <w:rPr>
          <w:highlight w:val="white"/>
          <w:vertAlign w:val="superscript"/>
        </w:rPr>
        <w:footnoteReference w:id="40"/>
      </w:r>
      <w:r>
        <w:rPr>
          <w:highlight w:val="white"/>
        </w:rPr>
        <w:t>. Esta orientación finalista se evidencia en los artículos 1 y 6.2 de la Ley N.° 32309, al disponer que el régimen de fomento tiene como propósito impulsar el desarrollo sostenible e inclusivo de las expresiones culturales del país, específicamente a través del fortalecimiento de la industria cinematográfica y audiovisual.</w:t>
      </w:r>
    </w:p>
    <w:p w14:paraId="77005E02" w14:textId="77777777" w:rsidR="00D17B12" w:rsidRDefault="007526ED">
      <w:pPr>
        <w:spacing w:before="240" w:line="240" w:lineRule="auto"/>
        <w:jc w:val="both"/>
        <w:rPr>
          <w:highlight w:val="white"/>
        </w:rPr>
      </w:pPr>
      <w:r>
        <w:rPr>
          <w:highlight w:val="white"/>
        </w:rPr>
        <w:t xml:space="preserve">La identificación de lo que constituye interés general no corresponde exclusivamente a la esfera jurídica, sino que requiere un abordaje técnico y transdisciplinar. En ese sentido, siguiendo a </w:t>
      </w:r>
      <w:r>
        <w:rPr>
          <w:smallCaps/>
          <w:highlight w:val="white"/>
        </w:rPr>
        <w:t>CHANG</w:t>
      </w:r>
      <w:r>
        <w:rPr>
          <w:highlight w:val="white"/>
          <w:vertAlign w:val="superscript"/>
        </w:rPr>
        <w:footnoteReference w:id="41"/>
      </w:r>
      <w:r>
        <w:rPr>
          <w:highlight w:val="white"/>
        </w:rPr>
        <w:t>, corresponde al ordenamiento jurídico garantizar la eficacia del régimen de fomento diseñado por el legislador, estableciendo los instrumentos normativos que permitan su operatividad. Precisamente ese es el rol que cumple el presente reglamento: articular, sobre la base de los principios, objetivos y limitaciones previstos en la Ley N.° 32309, las disposiciones necesarias para su aplicación efectiva.</w:t>
      </w:r>
    </w:p>
    <w:p w14:paraId="64235D59" w14:textId="77777777" w:rsidR="00D17B12" w:rsidRDefault="007526ED">
      <w:pPr>
        <w:spacing w:before="240" w:line="240" w:lineRule="auto"/>
        <w:jc w:val="both"/>
        <w:rPr>
          <w:highlight w:val="white"/>
        </w:rPr>
      </w:pPr>
      <w:r>
        <w:rPr>
          <w:highlight w:val="white"/>
        </w:rPr>
        <w:t>Como toda actuación administrativa, la actividad de fomento debe someterse al principio de legalidad. Esto implica que su ejercicio corresponde exclusivamente a la entidad pública competente, conforme a ley. En ese marco, los principios jurídicos desempeñan una función esencial. Tal como señala MORÓN URBINA</w:t>
      </w:r>
      <w:r>
        <w:rPr>
          <w:highlight w:val="white"/>
          <w:vertAlign w:val="superscript"/>
        </w:rPr>
        <w:footnoteReference w:id="42"/>
      </w:r>
      <w:r>
        <w:rPr>
          <w:highlight w:val="white"/>
        </w:rPr>
        <w:t>, “para el ordenamiento jurídico administrativo, la incorporación positiva de principios entraña el reconocimiento de postulados medulares y rectores dirigidos a servir de guías para la acción administrativa. (...) los principios son asumidos positivamente por el legislador como la fórmula ineludible de explicitar los valores sociales, éticos y políticos fundamentales de un conjunto de normas que como estándares permanentes deben ser concretados mediante la acción específica de los administrados y administradores. De ahí que la inobservancia a un principio debe ser considerada como más grave que el incumplimiento de cualquier otra norma sustantiva o procedimental de los procedimientos, ya que el infractor no solo viola una regla jurídica sino uno de los valores que subyacen a todo el régimen jurídico de la materia”.</w:t>
      </w:r>
      <w:r>
        <w:rPr>
          <w:rFonts w:ascii="Roboto" w:eastAsia="Roboto" w:hAnsi="Roboto" w:cs="Roboto"/>
          <w:color w:val="444746"/>
          <w:sz w:val="21"/>
          <w:szCs w:val="21"/>
          <w:highlight w:val="white"/>
        </w:rPr>
        <w:t xml:space="preserve"> </w:t>
      </w:r>
      <w:r>
        <w:rPr>
          <w:highlight w:val="white"/>
        </w:rPr>
        <w:t xml:space="preserve">Por ello, el reglamento incorpora un conjunto de principios que no solo orientan su contenido normativo, sino que guían su aplicación práctica. Junto a los principios generales establecidos en el la LPAG se integran la neutralidad, la imparcialidad, el desarrollo integral, la proporcionalidad, entre otros de relevancia para el sector Cultura. </w:t>
      </w:r>
    </w:p>
    <w:p w14:paraId="3BC10B74" w14:textId="77777777" w:rsidR="00D17B12" w:rsidRDefault="007526ED">
      <w:pPr>
        <w:spacing w:before="240" w:line="240" w:lineRule="auto"/>
        <w:jc w:val="both"/>
        <w:rPr>
          <w:highlight w:val="white"/>
        </w:rPr>
      </w:pPr>
      <w:r>
        <w:rPr>
          <w:highlight w:val="white"/>
        </w:rPr>
        <w:t>Desde esta perspectiva, el diseño del régimen de fomento previsto por la Ley N.° 32309 comprende los siguientes componentes estructurales:</w:t>
      </w:r>
    </w:p>
    <w:p w14:paraId="77E13F19" w14:textId="77777777" w:rsidR="00D17B12" w:rsidRDefault="007526ED">
      <w:pPr>
        <w:numPr>
          <w:ilvl w:val="0"/>
          <w:numId w:val="8"/>
        </w:numPr>
        <w:spacing w:before="240" w:line="240" w:lineRule="auto"/>
        <w:jc w:val="both"/>
        <w:rPr>
          <w:highlight w:val="white"/>
        </w:rPr>
      </w:pPr>
      <w:r>
        <w:rPr>
          <w:highlight w:val="white"/>
        </w:rPr>
        <w:t xml:space="preserve">Un instrumento de registro, gestión e información con respecto a los agentes del sector cinematográfico y audiovisual en el Perú: el Registro Nacional de la Cinematografía y el Audiovisual (RENCA), indispensable para la planificación,  trazabilidad y acceso a los incentivos propuestos por la Ley N.° 32309. </w:t>
      </w:r>
    </w:p>
    <w:p w14:paraId="173E99BF" w14:textId="77777777" w:rsidR="00D17B12" w:rsidRDefault="007526ED">
      <w:pPr>
        <w:numPr>
          <w:ilvl w:val="0"/>
          <w:numId w:val="8"/>
        </w:numPr>
        <w:spacing w:before="240" w:line="240" w:lineRule="auto"/>
        <w:jc w:val="both"/>
        <w:rPr>
          <w:highlight w:val="white"/>
        </w:rPr>
      </w:pPr>
      <w:r>
        <w:rPr>
          <w:highlight w:val="white"/>
        </w:rPr>
        <w:t>Un mecanismo de planificación que involucra la participación del sector cinematográfico y audiovisual a fin de implementar y ejecutar de manera previsible los estímulos económicos a ser convocados durante el año fiscal: el plan anual para el fomento de las actividades cinematográficas y audiovisuales.</w:t>
      </w:r>
    </w:p>
    <w:p w14:paraId="579CEB02" w14:textId="77777777" w:rsidR="00D17B12" w:rsidRDefault="007526ED">
      <w:pPr>
        <w:numPr>
          <w:ilvl w:val="0"/>
          <w:numId w:val="8"/>
        </w:numPr>
        <w:spacing w:before="240" w:line="240" w:lineRule="auto"/>
        <w:jc w:val="both"/>
        <w:rPr>
          <w:highlight w:val="white"/>
        </w:rPr>
      </w:pPr>
      <w:r>
        <w:rPr>
          <w:highlight w:val="white"/>
        </w:rPr>
        <w:t>Mecanismos de ejecución de los incentivos económicos: A través del otorgamiento de los estímulos económicos (subvenciones no reembolsables para la ejecución de proyectos vinculados a la actividad cinematográfica y audiovisual) y no económicos (acciones de fomento que no están vinculadas con el otorgamiento de un estímulo económico, pero que permite la consolidación y el crecimiento del sector cinematográfico y audiovisual, como acciones de formación, promoción, entre otros).</w:t>
      </w:r>
    </w:p>
    <w:p w14:paraId="39F09587" w14:textId="77777777" w:rsidR="00D17B12" w:rsidRDefault="007526ED">
      <w:pPr>
        <w:numPr>
          <w:ilvl w:val="0"/>
          <w:numId w:val="8"/>
        </w:numPr>
        <w:spacing w:before="240" w:line="240" w:lineRule="auto"/>
        <w:jc w:val="both"/>
        <w:rPr>
          <w:highlight w:val="white"/>
        </w:rPr>
      </w:pPr>
      <w:r>
        <w:rPr>
          <w:highlight w:val="white"/>
        </w:rPr>
        <w:t>Mecanismos de supervisión: medidas de supervisión y fiscalización administrativa orientadas a velar por el cumplimiento de los proyectos vinculados a los incentivos promovidos por la Ley N.° 32309, complementadas por un sistema sancionador con carácter subsidiario y excepcional.</w:t>
      </w:r>
    </w:p>
    <w:p w14:paraId="5DA521CD" w14:textId="77777777" w:rsidR="00D17B12" w:rsidRDefault="007526ED">
      <w:pPr>
        <w:numPr>
          <w:ilvl w:val="0"/>
          <w:numId w:val="8"/>
        </w:numPr>
        <w:spacing w:before="240" w:line="240" w:lineRule="auto"/>
        <w:jc w:val="both"/>
        <w:rPr>
          <w:highlight w:val="white"/>
        </w:rPr>
      </w:pPr>
      <w:r>
        <w:rPr>
          <w:highlight w:val="white"/>
        </w:rPr>
        <w:t xml:space="preserve">Actividades complementarias que dan sentido a la política de fomento en el marco del problema público identificado: acciones orientadas a la preservación, difusión y promoción nacional e internacional de las obras cinematográficas y audiovisuales en el territorio peruano. </w:t>
      </w:r>
    </w:p>
    <w:p w14:paraId="230E936F" w14:textId="77777777" w:rsidR="00D17B12" w:rsidRDefault="007526ED">
      <w:pPr>
        <w:spacing w:before="240" w:line="240" w:lineRule="auto"/>
        <w:jc w:val="both"/>
        <w:rPr>
          <w:highlight w:val="white"/>
        </w:rPr>
      </w:pPr>
      <w:r>
        <w:rPr>
          <w:highlight w:val="white"/>
        </w:rPr>
        <w:t xml:space="preserve">En consecuencia, el presente reglamento se estructura conforme a estos ejes, los cuales se desarrollarán con mayor detalle en las secciones siguientes, asegurando así una implementación coherente, eficaz y en el marco del ordenamiento jurídico vigente. </w:t>
      </w:r>
    </w:p>
    <w:p w14:paraId="013ADAA0" w14:textId="77777777" w:rsidR="00D17B12" w:rsidRDefault="007526ED">
      <w:pPr>
        <w:spacing w:before="240" w:line="240" w:lineRule="auto"/>
        <w:ind w:left="567" w:hanging="567"/>
        <w:jc w:val="both"/>
        <w:rPr>
          <w:b/>
          <w:bCs/>
        </w:rPr>
      </w:pPr>
      <w:r>
        <w:rPr>
          <w:b/>
          <w:bCs/>
        </w:rPr>
        <w:t xml:space="preserve">6.1. </w:t>
      </w:r>
      <w:r>
        <w:rPr>
          <w:b/>
          <w:bCs/>
        </w:rPr>
        <w:tab/>
        <w:t>Registro Nacional de la Cinematografía y el Audiovisual (RENCA)</w:t>
      </w:r>
    </w:p>
    <w:p w14:paraId="49E1E2AC" w14:textId="77777777" w:rsidR="00D17B12" w:rsidRDefault="007526ED">
      <w:pPr>
        <w:numPr>
          <w:ilvl w:val="0"/>
          <w:numId w:val="13"/>
        </w:numPr>
        <w:spacing w:before="240" w:line="240" w:lineRule="auto"/>
        <w:ind w:left="567" w:hanging="567"/>
        <w:jc w:val="both"/>
        <w:rPr>
          <w:b/>
          <w:bCs/>
        </w:rPr>
      </w:pPr>
      <w:r>
        <w:rPr>
          <w:b/>
          <w:bCs/>
        </w:rPr>
        <w:t xml:space="preserve">Naturaleza jurídica </w:t>
      </w:r>
    </w:p>
    <w:p w14:paraId="79C1C350" w14:textId="77777777" w:rsidR="00D17B12" w:rsidRDefault="007526ED">
      <w:pPr>
        <w:shd w:val="clear" w:color="auto" w:fill="FFFFFF"/>
        <w:spacing w:before="240" w:after="240" w:line="240" w:lineRule="auto"/>
        <w:jc w:val="both"/>
      </w:pPr>
      <w:r>
        <w:rPr>
          <w:sz w:val="21"/>
          <w:szCs w:val="21"/>
        </w:rPr>
        <w:t xml:space="preserve">A </w:t>
      </w:r>
      <w:r>
        <w:t xml:space="preserve">partir de la entrada en vigencia del DU 022-2019 y su reglamento, se crea el Registro Nacional de la Cinematografía y el Audiovisual (RENCA), el cual constituye un registro administrativo bajo la responsabilidad de la DAFO del Ministerio de Cultura. Este registro es un instrumento de gestión y reconocimiento oficial de las personas naturales o jurídicas que desarrollan actividades vinculadas al sector cinematográfico y audiovisual en el Perú. Asimismo, el RENCA inscribe y reconoce contratos, proyectos, salas y espacios de exhibición, así como obras cinematográficas y audiovisuales peruanas. </w:t>
      </w:r>
    </w:p>
    <w:p w14:paraId="196ECFC6" w14:textId="77777777" w:rsidR="00D17B12" w:rsidRDefault="007526ED">
      <w:pPr>
        <w:shd w:val="clear" w:color="auto" w:fill="FFFFFF"/>
        <w:spacing w:before="240" w:after="240" w:line="240" w:lineRule="auto"/>
        <w:jc w:val="both"/>
      </w:pPr>
      <w:r>
        <w:t xml:space="preserve">El registro en el RENCA incluye a las personas previamente inscritas en el Registro Cinematográfico Nacional (RCN) —creado bajo la derogada Ley N.° 26370, Ley de la Cinematografía Peruana—, conforme a lo establecido en la Cuarta Disposición Complementaria Final del DU 022-2019. Con esto se permite que las personas naturales o jurídicas previamente inscritas se adecuen al nuevo marco normativo con el único requisito de actualizar sus datos. </w:t>
      </w:r>
    </w:p>
    <w:p w14:paraId="4B258E36" w14:textId="77777777" w:rsidR="00D17B12" w:rsidRDefault="007526ED">
      <w:pPr>
        <w:spacing w:before="240" w:line="240" w:lineRule="auto"/>
        <w:jc w:val="both"/>
      </w:pPr>
      <w:r>
        <w:t>Por lo antes expuesto, se advierte que el RENCA tiene diversas funciones. Su función principal consiste en inscribir y recono</w:t>
      </w:r>
      <w:r>
        <w:rPr>
          <w:highlight w:val="white"/>
        </w:rPr>
        <w:t>cer a personas naturales y jurídicas, contratos, obras, proyectos, así como a salas y espacios de exhibición vinculados a las actividades cinematográficas y audiovisuales, sean nacionales o extranjeras. Esta inscripción permite sistematizar el desarrollo del sector, contar con una base de inform</w:t>
      </w:r>
      <w:r>
        <w:t xml:space="preserve">ación especializada y clasificada; no obstante, su naturaleza excede la mera recopilación y control de datos. En virtud de lo dispuesto en la Ley N.° 32309, la inscripción en el RENCA se erige como requisito indispensable para acceder a los incentivos de fomento establecidos en dicho régimen. </w:t>
      </w:r>
    </w:p>
    <w:p w14:paraId="7ACD78B1" w14:textId="77777777" w:rsidR="00D17B12" w:rsidRDefault="007526ED">
      <w:pPr>
        <w:spacing w:before="240" w:line="240" w:lineRule="auto"/>
        <w:jc w:val="both"/>
      </w:pPr>
      <w:r>
        <w:t>Debe precisarse que el RENCA es un registro administrativo en tanto constituye un instrumento técnico-jurídico destinado a dejar constancia formal de hechos, personas, bienes y situaciones relevantes para el cumplimiento de finalidades públicas</w:t>
      </w:r>
      <w:r>
        <w:rPr>
          <w:vertAlign w:val="superscript"/>
        </w:rPr>
        <w:footnoteReference w:id="43"/>
      </w:r>
      <w:r>
        <w:t xml:space="preserve">. </w:t>
      </w:r>
    </w:p>
    <w:p w14:paraId="379C1EA7" w14:textId="77777777" w:rsidR="00D17B12" w:rsidRDefault="007526ED">
      <w:pPr>
        <w:spacing w:before="240" w:after="240" w:line="240" w:lineRule="auto"/>
        <w:jc w:val="both"/>
      </w:pPr>
      <w:r>
        <w:t>Su creación responde a necesidades estructurales del sector, tales como: (i) garantizar la trazabilidad y transparencia de las acciones de fomento; (ii) sistematizar y ordenar la información de los agentes vinculados a la actividad cinematográfica y audiovisual; y (iii) brindar soporte técnico a la formulación, implementación y evaluación de políticas públicas orientadas a las actividades vinculadas al cine y el audiovisual.</w:t>
      </w:r>
    </w:p>
    <w:p w14:paraId="7B50CC59" w14:textId="77777777" w:rsidR="00D17B12" w:rsidRDefault="007526ED">
      <w:pPr>
        <w:spacing w:before="240" w:after="240" w:line="240" w:lineRule="auto"/>
        <w:jc w:val="both"/>
        <w:rPr>
          <w:highlight w:val="white"/>
        </w:rPr>
      </w:pPr>
      <w:r>
        <w:t xml:space="preserve">Adicionalmente, en cuanto a la inscripción y registro de las obras cinematográficas y audiovisuales, su inscripción y reconocimiento en el RENCA es la acreditación mediante la cual el Estado otorga a una obra cinematográfica o audiovisual la condición de “obra peruana”. Dicho reconocimiento se formaliza a través del acto administrativo emitido por el Ministerio de Cultura que aprueba la inscripción solicitada y esa es la única constancia oficial de nacionalidad de una obra cinematográfica y/o audiovisual en el país. En ese sentido, la inscripción en el RENCA no solo confiere publicidad y validez administrativa al reconocimiento de la obra, sino que también acredita su nacionalidad jurídica, habilitándola para acceder a los beneficios e incentivos previstos en la Ley N.° 32309, </w:t>
      </w:r>
      <w:r>
        <w:rPr>
          <w:highlight w:val="white"/>
        </w:rPr>
        <w:t>así como para acceder a cierto financiamiento de cooperación internacional, así como algunos casos voluntarios de coproducción con otros países, entre otros.</w:t>
      </w:r>
    </w:p>
    <w:p w14:paraId="65BC70CF" w14:textId="77777777" w:rsidR="00D17B12" w:rsidRDefault="007526ED">
      <w:pPr>
        <w:spacing w:before="240" w:after="240" w:line="240" w:lineRule="auto"/>
        <w:jc w:val="both"/>
      </w:pPr>
      <w:r>
        <w:t>De esta manera, el RENCA se configura como una herramienta estratégica de gestión pública, que facilita la identificación de los actores del sector, optimiza la administración de los recursos destinados al fomento y asegura la disponibilidad de información actualizada y confiable para la toma de decisiones en materia de desarrollo cinematográfico y audiovisual.</w:t>
      </w:r>
    </w:p>
    <w:p w14:paraId="0940A66B" w14:textId="77777777" w:rsidR="00D17B12" w:rsidRDefault="007526ED">
      <w:pPr>
        <w:spacing w:before="240" w:after="240" w:line="240" w:lineRule="auto"/>
        <w:jc w:val="both"/>
      </w:pPr>
      <w:r>
        <w:t xml:space="preserve">Desde el punto de vista jurídico, el RENCA no posee naturaleza constitutiva, es decir, no crea ni reconoce </w:t>
      </w:r>
      <w:r>
        <w:rPr>
          <w:i/>
          <w:iCs/>
        </w:rPr>
        <w:t>per se</w:t>
      </w:r>
      <w:r>
        <w:t xml:space="preserve"> la existencia jurídica de las personas, entidades o proyectos inscritos. Su configuración es de carácter declarativo: la inscripción no genera derechos subjetivos, pero constituye condición legal para el acceso a los estímulos económicos del régimen de fomento. En consecuencia, cumple con las siguientes funciones estructurales:</w:t>
      </w:r>
    </w:p>
    <w:p w14:paraId="103D1BF5" w14:textId="77777777" w:rsidR="00D17B12" w:rsidRDefault="007526ED">
      <w:pPr>
        <w:numPr>
          <w:ilvl w:val="0"/>
          <w:numId w:val="10"/>
        </w:numPr>
        <w:spacing w:before="240" w:line="240" w:lineRule="auto"/>
        <w:jc w:val="both"/>
      </w:pPr>
      <w:r>
        <w:rPr>
          <w:b/>
          <w:bCs/>
        </w:rPr>
        <w:t>Instrumento de habilitación técnica</w:t>
      </w:r>
      <w:r>
        <w:t>: sólo podrán postular a los incentivos quienes acrediten inscripción válida y vigente en el RENCA, conforme a lo previsto por la Ley y el reglamento.</w:t>
      </w:r>
    </w:p>
    <w:p w14:paraId="13664B9E" w14:textId="77777777" w:rsidR="00D17B12" w:rsidRDefault="007526ED">
      <w:pPr>
        <w:numPr>
          <w:ilvl w:val="0"/>
          <w:numId w:val="10"/>
        </w:numPr>
        <w:spacing w:before="240" w:line="240" w:lineRule="auto"/>
        <w:jc w:val="both"/>
      </w:pPr>
      <w:r>
        <w:rPr>
          <w:b/>
          <w:bCs/>
        </w:rPr>
        <w:t>Fuente de información pública</w:t>
      </w:r>
      <w:r>
        <w:t>: garantiza la transparencia del régimen de fomento, al permitir el seguimiento de los potenciales beneficiarios y de los recursos asignados.</w:t>
      </w:r>
    </w:p>
    <w:p w14:paraId="566F960F" w14:textId="77777777" w:rsidR="00D17B12" w:rsidRDefault="007526ED">
      <w:pPr>
        <w:numPr>
          <w:ilvl w:val="0"/>
          <w:numId w:val="10"/>
        </w:numPr>
        <w:spacing w:before="240" w:line="240" w:lineRule="auto"/>
        <w:jc w:val="both"/>
      </w:pPr>
      <w:r>
        <w:rPr>
          <w:b/>
          <w:bCs/>
        </w:rPr>
        <w:t>Soporte de fiscalización</w:t>
      </w:r>
      <w:r>
        <w:t>: posibilita la labor de control ex post, al facilitar la trazabilidad de las intervenciones administrativas y de los resultados obtenidos.</w:t>
      </w:r>
    </w:p>
    <w:p w14:paraId="11DC96FE" w14:textId="77777777" w:rsidR="00D17B12" w:rsidRDefault="007526ED">
      <w:pPr>
        <w:numPr>
          <w:ilvl w:val="0"/>
          <w:numId w:val="13"/>
        </w:numPr>
        <w:spacing w:before="240" w:line="240" w:lineRule="auto"/>
        <w:ind w:left="567" w:hanging="567"/>
        <w:jc w:val="both"/>
        <w:rPr>
          <w:b/>
          <w:bCs/>
        </w:rPr>
      </w:pPr>
      <w:r>
        <w:rPr>
          <w:b/>
          <w:bCs/>
        </w:rPr>
        <w:t>El acto de inscripción en el RENCA</w:t>
      </w:r>
    </w:p>
    <w:p w14:paraId="56994412" w14:textId="77777777" w:rsidR="00D17B12" w:rsidRDefault="007526ED">
      <w:pPr>
        <w:spacing w:before="240" w:line="240" w:lineRule="auto"/>
        <w:jc w:val="both"/>
      </w:pPr>
      <w:r>
        <w:t>Si bien la Primera Disposición Complementaria Final de la Ley N.° 32309 establece que la inscripción en el RENCA no constituye un procedimiento administrativo en los términos estrictos de la LPAG, ello no impide reconocer que la inscripción, en tanto decisión formal emitida por una autoridad en ejercicio de potestad administrativa, sí reviste naturaleza de acto administrativo. Esta calificación resulta coherente con el artículo 5 de la LPAG, que define el contenido del acto administrativo como aquello que decide, declara o certifica la autoridad administrativa. En ese sentido, la inscripción equivale a un acto de reconocimiento público del cumplimiento de condiciones legales, habilitante para participar en los mecanismos de incentivos establecidos.</w:t>
      </w:r>
    </w:p>
    <w:p w14:paraId="50D55069" w14:textId="77777777" w:rsidR="00D17B12" w:rsidRDefault="007526ED">
      <w:pPr>
        <w:spacing w:before="240" w:line="240" w:lineRule="auto"/>
        <w:jc w:val="both"/>
      </w:pPr>
      <w:r>
        <w:t xml:space="preserve">Cabe destacar que la inscripción en el RENCA conlleva implícitamente un reconocimiento por parte del Ministerio de Cultura, integrando en una sola actuación tanto la inscripción como el reconocimiento. </w:t>
      </w:r>
    </w:p>
    <w:p w14:paraId="227ABF3D" w14:textId="77777777" w:rsidR="00D17B12" w:rsidRDefault="007526ED">
      <w:pPr>
        <w:spacing w:before="240" w:line="240" w:lineRule="auto"/>
        <w:jc w:val="both"/>
      </w:pPr>
      <w:r>
        <w:t>En ese sentido, reconocido el carácter de acto administrativo del RENCA, procede la aplicación supletoria de las disposiciones contenidas en la LPAG, adecuándolas a la naturaleza particular del RENCA. Esta aplicación alcanza tres momentos relevantes:</w:t>
      </w:r>
    </w:p>
    <w:p w14:paraId="5A073AA2" w14:textId="77777777" w:rsidR="00D17B12" w:rsidRDefault="007526ED">
      <w:pPr>
        <w:numPr>
          <w:ilvl w:val="0"/>
          <w:numId w:val="14"/>
        </w:numPr>
        <w:spacing w:before="240" w:line="240" w:lineRule="auto"/>
        <w:jc w:val="both"/>
      </w:pPr>
      <w:r>
        <w:rPr>
          <w:b/>
          <w:bCs/>
        </w:rPr>
        <w:t>Formación del acto</w:t>
      </w:r>
      <w:r>
        <w:t>: el reglamento determina las condiciones legales y documentales requeridas para cada tipo de inscripción (personas naturales, jurídicas, proyectos, obras, contratos o salas de exhibición).</w:t>
      </w:r>
    </w:p>
    <w:p w14:paraId="626150E3" w14:textId="77777777" w:rsidR="00D17B12" w:rsidRDefault="007526ED">
      <w:pPr>
        <w:numPr>
          <w:ilvl w:val="0"/>
          <w:numId w:val="14"/>
        </w:numPr>
        <w:spacing w:before="240" w:line="240" w:lineRule="auto"/>
        <w:jc w:val="both"/>
      </w:pPr>
      <w:r>
        <w:rPr>
          <w:b/>
          <w:bCs/>
        </w:rPr>
        <w:t>Emisión del acto</w:t>
      </w:r>
      <w:r>
        <w:t>: el reglamento establece la autoridad competente, los plazos máximos de decisión, entre otros.</w:t>
      </w:r>
    </w:p>
    <w:p w14:paraId="4A68EDDB" w14:textId="77777777" w:rsidR="00D17B12" w:rsidRDefault="007526ED">
      <w:pPr>
        <w:numPr>
          <w:ilvl w:val="0"/>
          <w:numId w:val="14"/>
        </w:numPr>
        <w:spacing w:before="240" w:line="240" w:lineRule="auto"/>
        <w:jc w:val="both"/>
      </w:pPr>
      <w:r>
        <w:rPr>
          <w:b/>
          <w:bCs/>
        </w:rPr>
        <w:t>Vigencia del acto</w:t>
      </w:r>
      <w:r>
        <w:t>: la inscripción estará sujeta a que las personas, proyectos, contratos o salas se mantengan vinculadas a las actividades cinematográficas y audiovisuales, razón por la que el reglamento establece el tiempo de vigencia de los registros.</w:t>
      </w:r>
    </w:p>
    <w:p w14:paraId="3679B8C9" w14:textId="77777777" w:rsidR="00D17B12" w:rsidRDefault="007526ED">
      <w:pPr>
        <w:spacing w:before="240" w:after="240" w:line="240" w:lineRule="auto"/>
        <w:jc w:val="both"/>
      </w:pPr>
      <w:r>
        <w:t>En definitiva, el RENCA no sólo cumple la función jurídica de registro administrativo de carácter declarativo, sino que se consolida como un instrumento técnico-operativo a cargo de la DAFO del Ministerio de Cultura. Está diseñado para reconocer formalmente a las personas naturales y jurídicas, obras, proyectos, contratos, salas y espacios de exhibición vinculados al ámbito cinematográfico y audiovisual nacional.</w:t>
      </w:r>
    </w:p>
    <w:p w14:paraId="76B2C2C5" w14:textId="77777777" w:rsidR="00D17B12" w:rsidRDefault="007526ED">
      <w:pPr>
        <w:spacing w:before="240" w:after="240" w:line="240" w:lineRule="auto"/>
        <w:jc w:val="both"/>
        <w:rPr>
          <w:highlight w:val="white"/>
        </w:rPr>
      </w:pPr>
      <w:r>
        <w:t xml:space="preserve">Su finalidad trasciende el mero registro, constituyéndose en una plataforma de gestión y análisis sectorial que permite tanto acceder a los incentivos previstos en la Ley N.° 32309 como proveer a la Administración Pública de información actualizada y sistematizada sobre los agentes del sector, insumo fundamental para el diseño, implementación y evaluación de </w:t>
      </w:r>
      <w:r>
        <w:rPr>
          <w:highlight w:val="white"/>
        </w:rPr>
        <w:t>políticas públicas orientadas al fortalecimiento del cine y el audiovisual peruano.</w:t>
      </w:r>
    </w:p>
    <w:p w14:paraId="42E6F1E8" w14:textId="77777777" w:rsidR="00D17B12" w:rsidRDefault="007526ED">
      <w:pPr>
        <w:numPr>
          <w:ilvl w:val="0"/>
          <w:numId w:val="13"/>
        </w:numPr>
        <w:spacing w:before="240" w:line="240" w:lineRule="auto"/>
        <w:ind w:left="567" w:hanging="567"/>
        <w:jc w:val="both"/>
        <w:rPr>
          <w:b/>
          <w:bCs/>
          <w:highlight w:val="white"/>
        </w:rPr>
      </w:pPr>
      <w:r>
        <w:rPr>
          <w:b/>
          <w:bCs/>
          <w:highlight w:val="white"/>
        </w:rPr>
        <w:t>El reconocimiento de nacionalidad de una obra a través de su registro en el RENCA</w:t>
      </w:r>
    </w:p>
    <w:p w14:paraId="30DB3251" w14:textId="77777777" w:rsidR="00D17B12" w:rsidRDefault="007526ED">
      <w:pPr>
        <w:spacing w:before="240" w:after="240" w:line="240" w:lineRule="auto"/>
        <w:jc w:val="both"/>
        <w:rPr>
          <w:highlight w:val="white"/>
        </w:rPr>
      </w:pPr>
      <w:r>
        <w:rPr>
          <w:highlight w:val="white"/>
        </w:rPr>
        <w:t>De acuerdo con el artículo 4 de la Ley N.° 32309, para que las obras cinematográficas y audiovisuales sean consideradas peruanas, deben cumplir con una serie de requisitos citados en ese mismo artículo y desarrollados en el reglamento. Por su parte, la Primera Disposición Complementaria Final de la Ley N.° 32309 señala que el Ministerio de Cultura cuenta con el RENCA, en el que pueden registrarse obras cinematográficas y audiovisuales, peruanas o extranjeras. Agrega que sólo se consideran inscritas las obras que presenten constancia de inscripción en el RENCA.</w:t>
      </w:r>
    </w:p>
    <w:p w14:paraId="64260984" w14:textId="77777777" w:rsidR="00D17B12" w:rsidRDefault="007526ED">
      <w:pPr>
        <w:spacing w:before="240" w:after="240" w:line="240" w:lineRule="auto"/>
        <w:jc w:val="both"/>
        <w:rPr>
          <w:highlight w:val="white"/>
        </w:rPr>
      </w:pPr>
      <w:r>
        <w:rPr>
          <w:highlight w:val="white"/>
        </w:rPr>
        <w:t>De la interpretación conjunta de ambas disposiciones se concluye que la resolución directora emitida por la DAFO mediante la cual se le otorga la inscripción y reconocimiento de una obra en el RENCA constituye el acto administrativo mediante el cual el Estado peruano le otorga nacionalidad, toda vez que la DAFO verifica previamente el cumplimiento de los requisitos establecidos en el artículo 4 de la Ley. En consecuencia, las obras que no cumplan con dichos criterios se consideran obras extranjeras.</w:t>
      </w:r>
    </w:p>
    <w:p w14:paraId="224800B8" w14:textId="77777777" w:rsidR="00D17B12" w:rsidRDefault="007526ED">
      <w:pPr>
        <w:spacing w:before="240" w:line="240" w:lineRule="auto"/>
        <w:jc w:val="both"/>
        <w:rPr>
          <w:b/>
          <w:bCs/>
          <w:highlight w:val="green"/>
        </w:rPr>
      </w:pPr>
      <w:r>
        <w:rPr>
          <w:highlight w:val="white"/>
        </w:rPr>
        <w:t>El establecimiento de este mecanismo busca garantizar seguridad jurídica y uniformidad en la calificación de la nacionalidad de las obras cinematográficas y audiovisuales, lo cual resulta fundamental tanto para la aplicación de los incentivos económicos y fiscales previstos en la Ley N.° 32309, como para facilitar el acceso a programas internacionales de coproducción y financiamiento.</w:t>
      </w:r>
    </w:p>
    <w:p w14:paraId="3F505EAC" w14:textId="77777777" w:rsidR="00D17B12" w:rsidRDefault="007526ED">
      <w:pPr>
        <w:numPr>
          <w:ilvl w:val="0"/>
          <w:numId w:val="13"/>
        </w:numPr>
        <w:spacing w:before="240" w:line="240" w:lineRule="auto"/>
        <w:ind w:left="567" w:hanging="567"/>
        <w:jc w:val="both"/>
        <w:rPr>
          <w:b/>
          <w:bCs/>
        </w:rPr>
      </w:pPr>
      <w:r>
        <w:t xml:space="preserve">     </w:t>
      </w:r>
      <w:r>
        <w:rPr>
          <w:b/>
          <w:bCs/>
        </w:rPr>
        <w:t>La definición de “extranjero domiciliado” en el artículo 4 de la Ley N.° 32309</w:t>
      </w:r>
    </w:p>
    <w:p w14:paraId="094CBF6F" w14:textId="77777777" w:rsidR="00D17B12" w:rsidRDefault="007526ED">
      <w:pPr>
        <w:spacing w:before="240" w:line="240" w:lineRule="auto"/>
        <w:jc w:val="both"/>
      </w:pPr>
      <w:r>
        <w:t xml:space="preserve">El artículo 4 de la Ley N.° 32309 establece los requisitos que deben cumplirse de manera concurrente para que una obra cinematográfica o audiovisual sea reconocida como “obra peruana”. Este artículo tiene como propósito definir los </w:t>
      </w:r>
      <w:r>
        <w:rPr>
          <w:b/>
          <w:bCs/>
        </w:rPr>
        <w:t xml:space="preserve">criterios de nacionalidad </w:t>
      </w:r>
      <w:r>
        <w:t xml:space="preserve">de la obra, a partir de elementos objetivos vinculados a su producción, dirección, formación de equipo técnico y artístico, entre otros. </w:t>
      </w:r>
    </w:p>
    <w:p w14:paraId="6058BBB8" w14:textId="77777777" w:rsidR="00D17B12" w:rsidRDefault="007526ED">
      <w:pPr>
        <w:spacing w:before="240" w:line="240" w:lineRule="auto"/>
        <w:jc w:val="both"/>
      </w:pPr>
      <w:r>
        <w:t xml:space="preserve">La Ley N.° 32309 utiliza el término “extranjero domiciliado” en dos de los requisitos establecidos </w:t>
      </w:r>
      <w:r>
        <w:rPr>
          <w:b/>
          <w:bCs/>
        </w:rPr>
        <w:t>para el reconocimiento de una obra como peruana</w:t>
      </w:r>
      <w:r>
        <w:t>:</w:t>
      </w:r>
    </w:p>
    <w:p w14:paraId="47267D1A" w14:textId="77777777" w:rsidR="00D17B12" w:rsidRDefault="007526ED">
      <w:pPr>
        <w:spacing w:before="240" w:line="240" w:lineRule="auto"/>
        <w:ind w:left="708" w:hanging="425"/>
        <w:jc w:val="both"/>
      </w:pPr>
      <w:r>
        <w:t xml:space="preserve"> -   </w:t>
      </w:r>
      <w:r>
        <w:tab/>
      </w:r>
      <w:r>
        <w:rPr>
          <w:u w:val="single"/>
        </w:rPr>
        <w:t>En la nómina de los equipos artísticos, técnicos y personal en general</w:t>
      </w:r>
      <w:r>
        <w:t xml:space="preserve">: se exige que sean peruanos o </w:t>
      </w:r>
      <w:r>
        <w:rPr>
          <w:b/>
          <w:bCs/>
        </w:rPr>
        <w:t xml:space="preserve">extranjeros domiciliados en el país </w:t>
      </w:r>
      <w:r>
        <w:t>(inciso d) del numeral 4.1. del artículo 4 de la Ley N.° 32309). Quienes, además, deben representar no menos del 50% de la planilla de servicios personales.</w:t>
      </w:r>
    </w:p>
    <w:p w14:paraId="2A9A2091" w14:textId="77777777" w:rsidR="00D17B12" w:rsidRDefault="007526ED">
      <w:pPr>
        <w:spacing w:before="240" w:line="240" w:lineRule="auto"/>
        <w:ind w:left="708" w:hanging="425"/>
        <w:jc w:val="both"/>
      </w:pPr>
      <w:r>
        <w:t xml:space="preserve">-   </w:t>
      </w:r>
      <w:r>
        <w:tab/>
      </w:r>
      <w:r>
        <w:rPr>
          <w:u w:val="single"/>
        </w:rPr>
        <w:t>Para la música compuesta o arreglos realizados especialmente para la obra cinematográfica y/o audiovisua</w:t>
      </w:r>
      <w:r>
        <w:t xml:space="preserve">l, se exige que el compositor sea peruano o </w:t>
      </w:r>
      <w:r>
        <w:rPr>
          <w:b/>
          <w:bCs/>
        </w:rPr>
        <w:t xml:space="preserve">extranjero domiciliado en el país </w:t>
      </w:r>
      <w:r>
        <w:t xml:space="preserve">(inciso e) del numeral 4.1. del artículo 4 de la Ley N.° 32309).   </w:t>
      </w:r>
    </w:p>
    <w:p w14:paraId="75E03782" w14:textId="77777777" w:rsidR="00D17B12" w:rsidRDefault="007526ED">
      <w:pPr>
        <w:spacing w:before="240" w:after="240" w:line="240" w:lineRule="auto"/>
        <w:jc w:val="both"/>
      </w:pPr>
      <w:r>
        <w:t xml:space="preserve">A diferencia del DU 022-2019, la Ley N.° 32309 no define expresamente a quiénes comprende la expresión “extranjero domiciliado”. Por tal motivo, y con el propósito de que el reglamento cumpla adecuadamente su función interpretativa y orientadora respecto del contenido de la Ley, se consideró necesario analizar el </w:t>
      </w:r>
      <w:r>
        <w:rPr>
          <w:u w:val="single"/>
        </w:rPr>
        <w:t>ámbito de la nacionalidad</w:t>
      </w:r>
      <w:r>
        <w:t xml:space="preserve">, según la cual se utiliza el domicilio como criterio de conexión jurídica para el ejercicio de derechos de nacionalidad. </w:t>
      </w:r>
    </w:p>
    <w:p w14:paraId="35BE7874" w14:textId="77777777" w:rsidR="00D17B12" w:rsidRDefault="007526ED">
      <w:pPr>
        <w:spacing w:before="240" w:after="240" w:line="240" w:lineRule="auto"/>
        <w:ind w:left="1204" w:hanging="425"/>
        <w:jc w:val="both"/>
        <w:rPr>
          <w:b/>
          <w:bCs/>
        </w:rPr>
      </w:pPr>
      <w:r>
        <w:t>(ii)</w:t>
      </w:r>
      <w:r>
        <w:tab/>
      </w:r>
      <w:r>
        <w:rPr>
          <w:b/>
          <w:bCs/>
        </w:rPr>
        <w:t>La intención del legislador al emplear el término “extranjero domiciliado” en el artículo 4 de la Ley</w:t>
      </w:r>
    </w:p>
    <w:p w14:paraId="671FC84A" w14:textId="77777777" w:rsidR="00D17B12" w:rsidRDefault="007526ED">
      <w:pPr>
        <w:spacing w:before="240" w:after="240" w:line="240" w:lineRule="auto"/>
        <w:ind w:left="779"/>
        <w:jc w:val="both"/>
      </w:pPr>
      <w:r>
        <w:t>El uso de la expresión “extranjero domiciliado” en el artículo 4 de la Ley N.° 32309 refleja la intención del legislador de reconocer la participación de personas extranjeras que mantienen un vínculo permanente y activo con el país, diferenciándolas de aquellas que intervienen de manera ocasional o transitoria en producciones nacionales.</w:t>
      </w:r>
    </w:p>
    <w:p w14:paraId="4953AA08" w14:textId="77777777" w:rsidR="00D17B12" w:rsidRDefault="007526ED">
      <w:pPr>
        <w:spacing w:before="240" w:after="240" w:line="240" w:lineRule="auto"/>
        <w:ind w:left="779"/>
        <w:jc w:val="both"/>
      </w:pPr>
      <w:r>
        <w:t xml:space="preserve">De esta manera, al exigir que parte del equipo técnico y artístico, así como los compositores de las obras musicales en las obras cinematográficas, sean peruanos o extranjeros domiciliados, el legislador busca fortalecer la identidad cultural y el desarrollo sostenible de las actividades cinematográficas y audiovisuales nacionales, promoviendo la participación de quienes contribuyen de forma continua al sector desde el territorio peruano. </w:t>
      </w:r>
    </w:p>
    <w:p w14:paraId="29AEC502" w14:textId="77777777" w:rsidR="00D17B12" w:rsidRDefault="007526ED">
      <w:pPr>
        <w:spacing w:before="240" w:after="240" w:line="240" w:lineRule="auto"/>
        <w:ind w:left="779"/>
        <w:jc w:val="both"/>
      </w:pPr>
      <w:r>
        <w:t>En otras palabras, el concepto de “domiciliado” opera como un mecanismo de vinculación territorial, equilibrando la apertura internacional del sector con la protección del interés nacional del mismo, especialmente en lo relativo al reconocimiento de la nacionalidad de las obras cinematográficas y audiovisuales, que es el objetivo central del artículo 4 donde se menciona el término “extranjero domiciliado”.</w:t>
      </w:r>
    </w:p>
    <w:p w14:paraId="30C897DF" w14:textId="77777777" w:rsidR="00D17B12" w:rsidRDefault="007526ED">
      <w:pPr>
        <w:spacing w:before="240" w:after="240" w:line="240" w:lineRule="auto"/>
        <w:jc w:val="both"/>
      </w:pPr>
      <w:r>
        <w:t xml:space="preserve">En este marco, la condición de extranjero domiciliado cumple una función esencial: asegurar que las personas involucradas en la creación musical, los arreglos de la obra o los equipos artísticos y técnicos mantengan un vínculo real y estable con el Perú, más allá de su nacionalidad. Por ello, </w:t>
      </w:r>
      <w:r>
        <w:rPr>
          <w:b/>
          <w:bCs/>
        </w:rPr>
        <w:t>el reglamento define como extranjero domiciliado a la persona de nacionalidad extranjera que reside en el país por un plazo igual al requerido para acceder a la nacionalidad, según las normas de la materia</w:t>
      </w:r>
      <w:r>
        <w:t>.</w:t>
      </w:r>
    </w:p>
    <w:p w14:paraId="1A771E0E" w14:textId="77777777" w:rsidR="00D17B12" w:rsidRDefault="007526ED">
      <w:pPr>
        <w:spacing w:before="240" w:line="240" w:lineRule="auto"/>
        <w:ind w:left="567" w:hanging="567"/>
        <w:jc w:val="both"/>
        <w:rPr>
          <w:b/>
          <w:bCs/>
        </w:rPr>
      </w:pPr>
      <w:r>
        <w:rPr>
          <w:b/>
          <w:bCs/>
        </w:rPr>
        <w:t xml:space="preserve">6.2. </w:t>
      </w:r>
      <w:r>
        <w:rPr>
          <w:b/>
          <w:bCs/>
        </w:rPr>
        <w:tab/>
        <w:t xml:space="preserve">Mecanismo de planificación: El Plan Anual para el Fomento de la Actividad Cinematográfica y Audiovisual </w:t>
      </w:r>
    </w:p>
    <w:p w14:paraId="66C8C2F8" w14:textId="77777777" w:rsidR="00D17B12" w:rsidRDefault="007526ED">
      <w:pPr>
        <w:spacing w:before="240" w:after="240" w:line="240" w:lineRule="auto"/>
        <w:jc w:val="both"/>
      </w:pPr>
      <w:r>
        <w:t>El Plan Anual para el Fomento de la Actividad Cinematográfica y Audiovisual constituye el principal instrumento estratégico mediante el cual el Ministerio de Cultura planifica, organiza y orienta la política de otorgamiento de incentivos económicos al sector.</w:t>
      </w:r>
    </w:p>
    <w:p w14:paraId="3EEC93AA" w14:textId="77777777" w:rsidR="00D17B12" w:rsidRDefault="007526ED">
      <w:pPr>
        <w:spacing w:before="240" w:after="240" w:line="240" w:lineRule="auto"/>
        <w:jc w:val="both"/>
      </w:pPr>
      <w:r>
        <w:t>Este plan se elabora en concordancia con los objetivos establecidos en la Ley N.° 32309, que promueven la descentralización, sostenibilidad, inclusión y diversidad cultural en el ámbito cinematográfico y audiovisual. Su objetivo es garantizar la transparencia y la predictibilidad en el uso de los fondos públicos destinados al fomento de estas actividades.</w:t>
      </w:r>
    </w:p>
    <w:p w14:paraId="14E9A5FF" w14:textId="77777777" w:rsidR="00D17B12" w:rsidRDefault="007526ED">
      <w:pPr>
        <w:spacing w:before="240" w:after="240" w:line="240" w:lineRule="auto"/>
        <w:jc w:val="both"/>
      </w:pPr>
      <w:r>
        <w:t>A través del plan, se definen las líneas de estímulos económicos, las convocatorias correspondientes, los plazos de convocatoria de cada línea de estímulos económicos, los montos máximos a otorgarse, las reservas y demás disposiciones vinculadas a los estímulos económicos. Asimismo, su formulación incorpora los aportes de la ciudadanía mediante diversos mecanismos de participación ciudadana, lo que otorga legitimidad y efectividad al régimen de estímulos.</w:t>
      </w:r>
    </w:p>
    <w:p w14:paraId="6291D4D1" w14:textId="77777777" w:rsidR="00D17B12" w:rsidRDefault="007526ED">
      <w:pPr>
        <w:spacing w:before="240" w:after="240" w:line="240" w:lineRule="auto"/>
        <w:jc w:val="both"/>
      </w:pPr>
      <w:r>
        <w:t>En cumplimiento de la normativa vigente, el Ministerio de Cultura implementa en el reglamento de la Ley N.° 32309, los mecanismos de participación de la ciudadanía, generando espacios de participación que aseguran la intervención activa de personas naturales y jurídicas, tanto públicas como privadas, vinculadas al sector cinematográfico y audiovisual.</w:t>
      </w:r>
    </w:p>
    <w:p w14:paraId="0F9E4413" w14:textId="77777777" w:rsidR="00D17B12" w:rsidRDefault="007526ED">
      <w:pPr>
        <w:spacing w:before="240" w:after="240" w:line="240" w:lineRule="auto"/>
        <w:jc w:val="both"/>
      </w:pPr>
      <w:r>
        <w:t xml:space="preserve">Cabe señalar que, en el marco de la Política Nacional de Cultura (PNC), el Plan de Estímulos Económicos debe considerar la cadena de valor cultural propuesta por la UNESCO (2018) en su </w:t>
      </w:r>
      <w:r>
        <w:rPr>
          <w:i/>
          <w:iCs/>
        </w:rPr>
        <w:t>Informe Mundial “Re-pensar las Políticas Culturales: Creatividad para el Desarrollo”</w:t>
      </w:r>
      <w:r>
        <w:t>. Según este enfoque, el impacto de las tecnologías digitales ha transformado la dinámica de las industrias culturales, de modo que los agentes culturales ya no desarrollan etapas estrictamente secuenciales, sino que participan en una red interconectada donde los distintos eslabones —creación, producción, distribución, acceso y participación— “son nodos de una red con interacción en tiempo real, donde los datos son el elemento vital del ecosistema creativo y se deben considerar un componente clave de la economía creativa”</w:t>
      </w:r>
      <w:r>
        <w:rPr>
          <w:vertAlign w:val="superscript"/>
        </w:rPr>
        <w:footnoteReference w:id="44"/>
      </w:r>
      <w:r>
        <w:t>. A continuación, se incluye el cuadro mencionado, el cual permite visualizar de manera integral la cadena de valor cultural planteada por la UNESCO:</w:t>
      </w:r>
    </w:p>
    <w:p w14:paraId="45A640D4" w14:textId="77777777" w:rsidR="00D17B12" w:rsidRDefault="007526ED">
      <w:pPr>
        <w:spacing w:before="240" w:after="240" w:line="240" w:lineRule="auto"/>
        <w:jc w:val="center"/>
      </w:pPr>
      <w:r>
        <w:rPr>
          <w:noProof/>
        </w:rPr>
        <w:drawing>
          <wp:inline distT="114300" distB="114300" distL="114300" distR="114300" wp14:anchorId="179AF28E" wp14:editId="2E57F5FF">
            <wp:extent cx="4833775" cy="4143236"/>
            <wp:effectExtent l="12700" t="12700" r="12700" b="127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33775" cy="4143236"/>
                    </a:xfrm>
                    <a:prstGeom prst="rect">
                      <a:avLst/>
                    </a:prstGeom>
                    <a:ln w="12700">
                      <a:solidFill>
                        <a:srgbClr val="000000"/>
                      </a:solidFill>
                      <a:prstDash val="solid"/>
                    </a:ln>
                  </pic:spPr>
                </pic:pic>
              </a:graphicData>
            </a:graphic>
          </wp:inline>
        </w:drawing>
      </w:r>
    </w:p>
    <w:p w14:paraId="1611DA23" w14:textId="77777777" w:rsidR="00D17B12" w:rsidRDefault="007526ED">
      <w:pPr>
        <w:spacing w:before="240" w:after="240" w:line="240" w:lineRule="auto"/>
        <w:jc w:val="center"/>
      </w:pPr>
      <w:r>
        <w:rPr>
          <w:sz w:val="18"/>
          <w:szCs w:val="18"/>
        </w:rPr>
        <w:t xml:space="preserve">Fuente: </w:t>
      </w:r>
      <w:r>
        <w:rPr>
          <w:sz w:val="20"/>
          <w:szCs w:val="20"/>
        </w:rPr>
        <w:t xml:space="preserve"> </w:t>
      </w:r>
      <w:r>
        <w:rPr>
          <w:i/>
          <w:iCs/>
          <w:sz w:val="20"/>
          <w:szCs w:val="20"/>
        </w:rPr>
        <w:t xml:space="preserve">Repensar las políticas culturales: creatividad para el desarrollo, Convención 2005: informe mundial </w:t>
      </w:r>
      <w:r>
        <w:rPr>
          <w:sz w:val="18"/>
          <w:szCs w:val="18"/>
        </w:rPr>
        <w:t>UNESCO (2018)</w:t>
      </w:r>
    </w:p>
    <w:p w14:paraId="45EA3161" w14:textId="77777777" w:rsidR="00D17B12" w:rsidRDefault="007526ED">
      <w:pPr>
        <w:spacing w:before="240" w:after="240" w:line="240" w:lineRule="auto"/>
        <w:jc w:val="both"/>
      </w:pPr>
      <w:r>
        <w:t>En ese sentido, el reglamento propone una estructura del Plan y un diseño de los estímulos económicos en coherencia con esta cadena de valor, promoviendo la articulación entre sus diferentes etapas y favoreciendo el desarrollo integral del sector. De esta manera, se busca que las diversas líneas de estímulos abarquen todo el proceso de producción, asegurando una intervención equilibrada que impulse tanto la generación de contenidos como su circulación y acceso por parte de la ciudadanía.</w:t>
      </w:r>
    </w:p>
    <w:p w14:paraId="447526B6" w14:textId="77777777" w:rsidR="00D17B12" w:rsidRDefault="007526ED">
      <w:pPr>
        <w:spacing w:before="240" w:after="240" w:line="240" w:lineRule="auto"/>
        <w:ind w:left="567" w:hanging="567"/>
        <w:jc w:val="both"/>
        <w:rPr>
          <w:b/>
          <w:bCs/>
          <w:highlight w:val="white"/>
        </w:rPr>
      </w:pPr>
      <w:r>
        <w:rPr>
          <w:b/>
          <w:bCs/>
          <w:highlight w:val="white"/>
        </w:rPr>
        <w:t xml:space="preserve">6.3. </w:t>
      </w:r>
      <w:r>
        <w:rPr>
          <w:b/>
          <w:bCs/>
          <w:highlight w:val="white"/>
        </w:rPr>
        <w:tab/>
        <w:t>Estímulos económicos para las actividades cinematográficas y audiovisuales</w:t>
      </w:r>
    </w:p>
    <w:p w14:paraId="5D5AF11A" w14:textId="77777777" w:rsidR="00D17B12" w:rsidRDefault="007526ED">
      <w:pPr>
        <w:spacing w:before="240" w:line="240" w:lineRule="auto"/>
        <w:ind w:left="567" w:hanging="567"/>
        <w:jc w:val="both"/>
        <w:rPr>
          <w:b/>
          <w:bCs/>
        </w:rPr>
      </w:pPr>
      <w:r>
        <w:rPr>
          <w:b/>
          <w:bCs/>
        </w:rPr>
        <w:t xml:space="preserve">a) </w:t>
      </w:r>
      <w:r>
        <w:rPr>
          <w:b/>
          <w:bCs/>
        </w:rPr>
        <w:tab/>
        <w:t>El estímulo económico como subvención no reembolsable</w:t>
      </w:r>
    </w:p>
    <w:p w14:paraId="04E05C3F" w14:textId="77777777" w:rsidR="00D17B12" w:rsidRDefault="007526ED">
      <w:pPr>
        <w:spacing w:before="240" w:after="240" w:line="240" w:lineRule="auto"/>
        <w:jc w:val="both"/>
      </w:pPr>
      <w:r>
        <w:t>De acuerdo con el artículo 12.2 de la Ley N.° 32309, los estímulos económicos destinados a las actividades cinematográficas y audiovisuales se otorgan mediante subvenciones aprobadas por resolución del titular del Ministerio de Cultura. En tal sentido, dichos estímulos constituyen actos administrativos cuyo contenido jurídico implica una prestación patrimonial directa del Estado a favor de un beneficiario determinado.</w:t>
      </w:r>
    </w:p>
    <w:p w14:paraId="2E3FA2A5" w14:textId="77777777" w:rsidR="00D17B12" w:rsidRDefault="007526ED">
      <w:pPr>
        <w:spacing w:before="240" w:after="240" w:line="240" w:lineRule="auto"/>
        <w:jc w:val="both"/>
      </w:pPr>
      <w:r>
        <w:t>Estas subvenciones de carácter no reembolsable, los estímulos económicos, representan el instrumento paradigmático de la actividad administrativa de fomento, al reflejar la intervención del Estado orientada a promover actividades de interés público.</w:t>
      </w:r>
    </w:p>
    <w:p w14:paraId="5A4F71E6" w14:textId="77777777" w:rsidR="00D17B12" w:rsidRDefault="007526ED">
      <w:pPr>
        <w:spacing w:before="240" w:after="240" w:line="240" w:lineRule="auto"/>
        <w:jc w:val="both"/>
      </w:pPr>
      <w:r>
        <w:t xml:space="preserve">Funcionarios de organismos internacionales como el Banco Mundial, el Fondo Monetario Internacional (FMI), la OCDE y la OMC, en su informe </w:t>
      </w:r>
      <w:r>
        <w:rPr>
          <w:i/>
          <w:iCs/>
        </w:rPr>
        <w:t>“Subvenciones, comercio y cooperación internacional”</w:t>
      </w:r>
      <w:r>
        <w:t xml:space="preserve">, señalan que: “No existe una definición general o sencilla de qué se entiende por subvención; se emplean diferentes definiciones según el contexto. (...) </w:t>
      </w:r>
      <w:r>
        <w:rPr>
          <w:b/>
          <w:bCs/>
        </w:rPr>
        <w:t>En términos generales [las subvenciones son] una transferencia del Gobierno (también de manera indirecta) a una entidad “sin contrapartida”, es decir, que no se recibe a cambio una contribución equivalente</w:t>
      </w:r>
      <w:r>
        <w:t>”</w:t>
      </w:r>
      <w:r>
        <w:rPr>
          <w:vertAlign w:val="superscript"/>
        </w:rPr>
        <w:footnoteReference w:id="45"/>
      </w:r>
      <w:r>
        <w:t>. Por lo que, las subvenciones a las que se refiere la Ley son de carácter no reembolsable.</w:t>
      </w:r>
    </w:p>
    <w:p w14:paraId="34D17C37" w14:textId="77777777" w:rsidR="00D17B12" w:rsidRDefault="007526ED">
      <w:pPr>
        <w:spacing w:before="240" w:after="240" w:line="240" w:lineRule="auto"/>
        <w:jc w:val="both"/>
      </w:pPr>
      <w:r>
        <w:t>En el Perú no existe un régimen general de subvenciones aplicable a todos los sectores. Por ello, el otorgamiento de los estímulos económicos en materia cinematográfica y audiovisual se rige por una ley especial, la Ley N.° 32309.</w:t>
      </w:r>
    </w:p>
    <w:p w14:paraId="639726E4" w14:textId="77777777" w:rsidR="00D17B12" w:rsidRDefault="007526ED">
      <w:pPr>
        <w:spacing w:before="240" w:after="240" w:line="240" w:lineRule="auto"/>
        <w:jc w:val="both"/>
        <w:rPr>
          <w:vertAlign w:val="superscript"/>
        </w:rPr>
      </w:pPr>
      <w:r>
        <w:t>Dado que la legislación nacional no define expresamente el concepto de subvención, se recurre a estándares internacionales para su comprensión. La Norma Internacional de Contabilidad 20 (NIC 20) define las subvenciones gubernamentales como la “ayuda gubernamental en forma de transferencias de recursos a una entidad a cambio del cumplimiento pasado o futuro de ciertas condiciones relacionadas con las actividades de operación de la entidad”.</w:t>
      </w:r>
    </w:p>
    <w:p w14:paraId="38BBDBA9" w14:textId="77777777" w:rsidR="00D17B12" w:rsidRDefault="007526ED">
      <w:pPr>
        <w:spacing w:before="240" w:line="240" w:lineRule="auto"/>
        <w:jc w:val="both"/>
      </w:pPr>
      <w:r>
        <w:t>En ese sentido, el cumplimiento de la finalidad pública es un elemento esencial en el régimen de subvenciones. Como señala la doctrina, “[l]o que se da –o se dispensa– en concepto de ayuda (…) no se otorga para ser simplemente consumido o usado, porque con ese uso o consumo se satisface en sí misma una determinada necesidad de otro, sino que siempre se concede en atención a una determinada actividad o conducta que, con la ayuda, va a ser posible o más fácil y mejor realizada (…)”</w:t>
      </w:r>
      <w:r>
        <w:rPr>
          <w:vertAlign w:val="superscript"/>
        </w:rPr>
        <w:footnoteReference w:id="46"/>
      </w:r>
      <w:r>
        <w:t xml:space="preserve">. </w:t>
      </w:r>
    </w:p>
    <w:p w14:paraId="19E6AC47" w14:textId="77777777" w:rsidR="00D17B12" w:rsidRDefault="007526ED">
      <w:pPr>
        <w:spacing w:before="240" w:after="240" w:line="240" w:lineRule="auto"/>
        <w:jc w:val="both"/>
        <w:rPr>
          <w:highlight w:val="white"/>
        </w:rPr>
      </w:pPr>
      <w:r>
        <w:t xml:space="preserve">Por lo que, los </w:t>
      </w:r>
      <w:r>
        <w:rPr>
          <w:highlight w:val="white"/>
        </w:rPr>
        <w:t xml:space="preserve">estímulos económicos para la actividad cinematográfica y audiovisual, otorgados a través de subvenciones no reembolsables, no constituyen meros actos de liberalidad del Estado, sino decisiones administrativas con fundamento legal expreso, orientadas al cumplimiento de una finalidad pública específica: fomentar las actividades cinematográfica y audiovisual en el territorio nacional con el propósito de contribuir al desarrollo sostenible e inclusivo de las diversas expresiones culturales del Perú. </w:t>
      </w:r>
    </w:p>
    <w:p w14:paraId="416BD704" w14:textId="77777777" w:rsidR="00D17B12" w:rsidRDefault="007526ED">
      <w:pPr>
        <w:spacing w:before="240" w:line="240" w:lineRule="auto"/>
        <w:ind w:left="567" w:hanging="567"/>
        <w:jc w:val="both"/>
        <w:rPr>
          <w:b/>
          <w:bCs/>
          <w:highlight w:val="white"/>
        </w:rPr>
      </w:pPr>
      <w:r>
        <w:rPr>
          <w:b/>
          <w:bCs/>
          <w:highlight w:val="white"/>
        </w:rPr>
        <w:t xml:space="preserve">b) </w:t>
      </w:r>
      <w:r>
        <w:rPr>
          <w:b/>
          <w:bCs/>
          <w:highlight w:val="white"/>
        </w:rPr>
        <w:tab/>
        <w:t>Sobre los recursos que se asignan para el otorgamiento de los estímulos económicos</w:t>
      </w:r>
    </w:p>
    <w:p w14:paraId="61248945" w14:textId="77777777" w:rsidR="00D17B12" w:rsidRDefault="007526ED">
      <w:pPr>
        <w:spacing w:before="240" w:line="240" w:lineRule="auto"/>
        <w:jc w:val="both"/>
        <w:rPr>
          <w:highlight w:val="white"/>
        </w:rPr>
      </w:pPr>
      <w:r>
        <w:rPr>
          <w:highlight w:val="white"/>
        </w:rPr>
        <w:t xml:space="preserve">El numeral 12.3 del artículo 12 de la Ley señala que el Ministerio de Economía y Finanzas propone para cada ejercicio fiscal los </w:t>
      </w:r>
      <w:r>
        <w:rPr>
          <w:highlight w:val="white"/>
          <w:u w:val="single"/>
        </w:rPr>
        <w:t>porcentajes máximos de los incentivos económicos</w:t>
      </w:r>
      <w:r>
        <w:rPr>
          <w:highlight w:val="white"/>
        </w:rPr>
        <w:t>, dispuestos en el presente artículo</w:t>
      </w:r>
      <w:r>
        <w:rPr>
          <w:highlight w:val="white"/>
          <w:vertAlign w:val="superscript"/>
        </w:rPr>
        <w:footnoteReference w:id="47"/>
      </w:r>
      <w:r>
        <w:rPr>
          <w:highlight w:val="white"/>
        </w:rPr>
        <w:t>, considerando los fondos presupuestales que se asignan anualmente para este fin.</w:t>
      </w:r>
    </w:p>
    <w:p w14:paraId="51B30D95" w14:textId="77777777" w:rsidR="00D17B12" w:rsidRDefault="007526ED">
      <w:pPr>
        <w:spacing w:before="240" w:line="240" w:lineRule="auto"/>
        <w:jc w:val="both"/>
        <w:rPr>
          <w:highlight w:val="white"/>
        </w:rPr>
      </w:pPr>
      <w:r>
        <w:rPr>
          <w:highlight w:val="white"/>
        </w:rPr>
        <w:t xml:space="preserve">En ese sentido, de conformidad con el artículo 12.1 de la Ley N.° 32309, </w:t>
      </w:r>
      <w:r>
        <w:rPr>
          <w:highlight w:val="white"/>
          <w:u w:val="single"/>
        </w:rPr>
        <w:t>el monto mínimo destinado anualmente al otorgamiento de estímulos económicos es de seis mil (6000) unidades impositivas tributarias (UIT)</w:t>
      </w:r>
      <w:r>
        <w:rPr>
          <w:highlight w:val="white"/>
        </w:rPr>
        <w:t xml:space="preserve">, </w:t>
      </w:r>
      <w:r>
        <w:rPr>
          <w:b/>
          <w:bCs/>
          <w:highlight w:val="white"/>
        </w:rPr>
        <w:t>constituyendo una asignación legal obligatoria que el Ministerio de Economía y Finanzas no puede reducir, al encontrarse expresamente fijada por ley</w:t>
      </w:r>
      <w:r>
        <w:rPr>
          <w:highlight w:val="white"/>
        </w:rPr>
        <w:t xml:space="preserve">. </w:t>
      </w:r>
    </w:p>
    <w:p w14:paraId="5D1CEE16" w14:textId="77777777" w:rsidR="00D17B12" w:rsidRDefault="007526ED">
      <w:pPr>
        <w:spacing w:before="240" w:line="240" w:lineRule="auto"/>
        <w:jc w:val="both"/>
        <w:rPr>
          <w:highlight w:val="white"/>
        </w:rPr>
      </w:pPr>
      <w:r>
        <w:rPr>
          <w:highlight w:val="white"/>
        </w:rPr>
        <w:t xml:space="preserve">No obstante, en el marco del proceso de programación y formulación del Presupuesto del Sector Público, </w:t>
      </w:r>
      <w:r>
        <w:rPr>
          <w:highlight w:val="white"/>
          <w:u w:val="single"/>
        </w:rPr>
        <w:t>el MEF podrá autorizar montos superiores a dicho mínimo, siempre que exista disponibilidad presupuestal y previa coordinación con el Ministerio de Cultura</w:t>
      </w:r>
      <w:r>
        <w:rPr>
          <w:highlight w:val="white"/>
        </w:rPr>
        <w:t>. Esta facultad permite adecuar los recursos a las necesidades del sector cinematográfico y audiovisual, garantizando al mismo tiempo la sostenibilidad fiscal y la continuidad del régimen de fomento establecido por la Ley N.° 32309.</w:t>
      </w:r>
    </w:p>
    <w:p w14:paraId="39E69D7B" w14:textId="77777777" w:rsidR="00D17B12" w:rsidRDefault="007526ED">
      <w:pPr>
        <w:spacing w:before="240" w:line="240" w:lineRule="auto"/>
        <w:ind w:left="567" w:hanging="567"/>
        <w:jc w:val="both"/>
        <w:rPr>
          <w:b/>
          <w:bCs/>
        </w:rPr>
      </w:pPr>
      <w:r>
        <w:rPr>
          <w:b/>
          <w:bCs/>
          <w:highlight w:val="white"/>
        </w:rPr>
        <w:t xml:space="preserve">c) </w:t>
      </w:r>
      <w:r>
        <w:rPr>
          <w:b/>
          <w:bCs/>
          <w:highlight w:val="white"/>
        </w:rPr>
        <w:tab/>
        <w:t>Sobre el proceso de otorgamiento de los estímulos</w:t>
      </w:r>
      <w:r>
        <w:rPr>
          <w:b/>
          <w:bCs/>
        </w:rPr>
        <w:t xml:space="preserve"> económicos </w:t>
      </w:r>
    </w:p>
    <w:p w14:paraId="5F344934" w14:textId="77777777" w:rsidR="00D17B12" w:rsidRDefault="007526ED">
      <w:pPr>
        <w:spacing w:before="240" w:line="240" w:lineRule="auto"/>
        <w:jc w:val="both"/>
      </w:pPr>
      <w:r>
        <w:t>Los estímulos económicos se destinan a financiar proyectos cinematográficos y audiovisuales peruanos, conforme lo señala el artículo 14.1 de la Ley N.° 32309. Con el propósito de garantizar legitimidad, transparencia y previsibilidad en su otorgamiento, el reglamento de la Ley establece de manera detallada los flujos y etapas del proceso, a fin de evitar cualquier forma de arbitrariedad y reforzar la legitimidad del régimen de fomento.</w:t>
      </w:r>
    </w:p>
    <w:p w14:paraId="73E941B4" w14:textId="77777777" w:rsidR="00D17B12" w:rsidRDefault="007526ED">
      <w:pPr>
        <w:spacing w:before="240" w:line="240" w:lineRule="auto"/>
        <w:jc w:val="both"/>
      </w:pPr>
      <w:r>
        <w:t>En particular, los estímulos económicos concursables se presentan como el instrumento central del modelo de fomento de tipo económico. Su diseño permite canalizar la intervención pública a través de procesos competitivos y objetivos, en los que las postulaciones son evaluadas por un jurado especializa</w:t>
      </w:r>
      <w:r>
        <w:rPr>
          <w:highlight w:val="white"/>
        </w:rPr>
        <w:t>do conforme a criterios previamente establecidos en las bases de cada línea de estímulo. Entre estos criterios destacan la viabilidad técnica, la pertinencia cultural, la descentralización territorial y otros vinculados al cumplimiento de los objetivos de política cultural. Esta estructura garantiza no solo la igualdad de oportunidades entre los postulantes, s</w:t>
      </w:r>
      <w:r>
        <w:t>ino también una asignación eficiente, transparente y alineada con la finalidad pública de promover un desarrollo cultural sostenible e inclusivo, conforme a lo dispuesto en el artículo 1 de la Ley N.° 32309.</w:t>
      </w:r>
    </w:p>
    <w:p w14:paraId="568A9338" w14:textId="77777777" w:rsidR="00D17B12" w:rsidRDefault="007526ED">
      <w:pPr>
        <w:spacing w:before="240" w:after="240" w:line="240" w:lineRule="auto"/>
        <w:jc w:val="both"/>
      </w:pPr>
      <w:r>
        <w:t>Con el fin de reforzar dichas garantías, el reglamento regula detalladamente todas las etapas del proceso concursable, desde la convocatoria y recepción de postulaciones hasta la emisión de la resolución que declara a las personas beneficiarias, incluyendo la conformación del jurado evaluador durante el procedimiento.</w:t>
      </w:r>
    </w:p>
    <w:p w14:paraId="1D3EBCDD" w14:textId="77777777" w:rsidR="00D17B12" w:rsidRDefault="007526ED">
      <w:pPr>
        <w:spacing w:line="240" w:lineRule="auto"/>
        <w:jc w:val="both"/>
      </w:pPr>
      <w:r>
        <w:t xml:space="preserve">Asimismo, la Ley contempla el otorgamiento de estímulos económicos no concursables, los que se otorgan, a modo de petición de gracia, a los administrados que cumplan el supuesto de hecho de la norma, esto es, que cumplan con los requisitos previstos. Si bien estos estímulos no se someten a competencia, no se otorgan de manera automática o directa, pues requieren una evaluación técnica del cumplimiento de los requisitos establecidos previamente en las bases a cargo de la DAFO del Ministerio de Cultura. </w:t>
      </w:r>
    </w:p>
    <w:p w14:paraId="0AE024E2" w14:textId="77777777" w:rsidR="00D17B12" w:rsidRDefault="00D17B12">
      <w:pPr>
        <w:spacing w:line="240" w:lineRule="auto"/>
        <w:jc w:val="both"/>
      </w:pPr>
    </w:p>
    <w:p w14:paraId="53F3A73A" w14:textId="77777777" w:rsidR="00D17B12" w:rsidRDefault="007526ED">
      <w:pPr>
        <w:spacing w:line="240" w:lineRule="auto"/>
        <w:jc w:val="both"/>
      </w:pPr>
      <w:r>
        <w:t>Cabe señalar que los estímulos económicos, tanto concursables como no concursables, establecen criterios vinculados a acciones afirmativas en concordancia con diversas políticas sectoriales del Poder Ejecutivo, tales como la Política Nacional de Igualdad de Género; la Política Nacional de Transversalización del Enfoque Intercultural, así como la Política Nacional de Lenguas Originarias, Tradición Oral e Interculturalidades.</w:t>
      </w:r>
    </w:p>
    <w:p w14:paraId="45632D98" w14:textId="77777777" w:rsidR="00D17B12" w:rsidRDefault="00D17B12">
      <w:pPr>
        <w:spacing w:line="240" w:lineRule="auto"/>
        <w:jc w:val="both"/>
      </w:pPr>
    </w:p>
    <w:p w14:paraId="08D8EBAD" w14:textId="77777777" w:rsidR="00D17B12" w:rsidRDefault="007526ED">
      <w:pPr>
        <w:spacing w:line="240" w:lineRule="auto"/>
        <w:ind w:left="567" w:hanging="567"/>
        <w:jc w:val="both"/>
        <w:rPr>
          <w:b/>
          <w:bCs/>
          <w:highlight w:val="white"/>
        </w:rPr>
      </w:pPr>
      <w:r>
        <w:rPr>
          <w:b/>
          <w:bCs/>
        </w:rPr>
        <w:t xml:space="preserve">d) </w:t>
      </w:r>
      <w:r>
        <w:rPr>
          <w:b/>
          <w:bCs/>
          <w:highlight w:val="white"/>
        </w:rPr>
        <w:tab/>
        <w:t>La libertad de expresión y la libertad de creación en la actividad cinematográfica y audiovisual, a través de los estímulos económicos</w:t>
      </w:r>
    </w:p>
    <w:p w14:paraId="04D5FBF5" w14:textId="77777777" w:rsidR="00D17B12" w:rsidRDefault="00D17B12">
      <w:pPr>
        <w:spacing w:line="240" w:lineRule="auto"/>
        <w:ind w:left="1275" w:hanging="566"/>
        <w:jc w:val="both"/>
        <w:rPr>
          <w:b/>
          <w:bCs/>
        </w:rPr>
      </w:pPr>
    </w:p>
    <w:p w14:paraId="202F8AA5" w14:textId="77777777" w:rsidR="00D17B12" w:rsidRDefault="007526ED">
      <w:pPr>
        <w:spacing w:line="240" w:lineRule="auto"/>
        <w:jc w:val="both"/>
      </w:pPr>
      <w:r>
        <w:t>La libertad de expresión y la libertad artística son condiciones esenciales para el desarrollo cultural, democrático y económico de una sociedad. En el ámbito cinematográfico y audiovisual, el marco jurídico que lo fomenta debe garantizar que los mecanismos creados para ello no configuren restricciones indirectas, previas o vagamente definidas que puedan      desalentar la creación. La Ley N.° 32309 y su reglamentación debe  interpretarse y aplicarse conforme a los estándares constitucionales e internacionales sobre libertad de expresión, con el fin de promover un entorno protector para la creación y circulación de obras audiovisuales, de conformidad con el objeto de la citada norma: fomentar las actividades cinematográficas y audiovisuales en el territorio nacional con la finalidad de contribuir al desarrollo sostenible e inclusivo de las diversas expresiones culturales del Perú.</w:t>
      </w:r>
    </w:p>
    <w:p w14:paraId="5AE6AEF6" w14:textId="77777777" w:rsidR="00D17B12" w:rsidRDefault="00D17B12">
      <w:pPr>
        <w:spacing w:line="240" w:lineRule="auto"/>
        <w:jc w:val="both"/>
      </w:pPr>
    </w:p>
    <w:p w14:paraId="5ED2F718" w14:textId="77777777" w:rsidR="00D17B12" w:rsidRDefault="007526ED">
      <w:pPr>
        <w:spacing w:line="240" w:lineRule="auto"/>
        <w:jc w:val="both"/>
      </w:pPr>
      <w:r>
        <w:t>Al respecto, el numeral 4 del artículo 2 de la Constitución Política del Perú, en el primer capítulo referido a los derechos fundamentales, establece que:</w:t>
      </w:r>
    </w:p>
    <w:p w14:paraId="5E5E4ADA" w14:textId="77777777" w:rsidR="00D17B12" w:rsidRDefault="00D17B12">
      <w:pPr>
        <w:spacing w:line="240" w:lineRule="auto"/>
        <w:jc w:val="both"/>
      </w:pPr>
    </w:p>
    <w:p w14:paraId="626A860E" w14:textId="77777777" w:rsidR="00D17B12" w:rsidRDefault="007526ED">
      <w:pPr>
        <w:spacing w:line="240" w:lineRule="auto"/>
        <w:ind w:left="720"/>
        <w:jc w:val="both"/>
        <w:rPr>
          <w:b/>
          <w:bCs/>
          <w:sz w:val="20"/>
          <w:szCs w:val="20"/>
        </w:rPr>
      </w:pPr>
      <w:r>
        <w:rPr>
          <w:sz w:val="20"/>
          <w:szCs w:val="20"/>
        </w:rPr>
        <w:t>“</w:t>
      </w:r>
      <w:r>
        <w:rPr>
          <w:b/>
          <w:bCs/>
          <w:sz w:val="20"/>
          <w:szCs w:val="20"/>
        </w:rPr>
        <w:t>Artículo 2.- Toda persona tiene derecho:</w:t>
      </w:r>
    </w:p>
    <w:p w14:paraId="2BA5A067" w14:textId="77777777" w:rsidR="00D17B12" w:rsidRDefault="007526ED">
      <w:pPr>
        <w:spacing w:line="240" w:lineRule="auto"/>
        <w:ind w:left="720"/>
        <w:jc w:val="both"/>
        <w:rPr>
          <w:sz w:val="20"/>
          <w:szCs w:val="20"/>
        </w:rPr>
      </w:pPr>
      <w:r>
        <w:rPr>
          <w:sz w:val="20"/>
          <w:szCs w:val="20"/>
        </w:rPr>
        <w:t>(...)</w:t>
      </w:r>
    </w:p>
    <w:p w14:paraId="0C0756AE" w14:textId="77777777" w:rsidR="00D17B12" w:rsidRDefault="007526ED">
      <w:pPr>
        <w:spacing w:line="240" w:lineRule="auto"/>
        <w:ind w:left="720"/>
        <w:jc w:val="both"/>
        <w:rPr>
          <w:sz w:val="20"/>
          <w:szCs w:val="20"/>
        </w:rPr>
      </w:pPr>
      <w:r>
        <w:rPr>
          <w:sz w:val="20"/>
          <w:szCs w:val="20"/>
        </w:rPr>
        <w:t>4.</w:t>
      </w:r>
      <w:r>
        <w:rPr>
          <w:sz w:val="20"/>
          <w:szCs w:val="20"/>
        </w:rPr>
        <w:tab/>
        <w:t xml:space="preserve">A las libertades de información, opinión, expresión y difusión del pensamiento mediante la palabra oral o escrita o la imagen, por cualquier medio de comunicación social, sin previa autorización ni censura ni impedimento alguno, bajo las responsabilidades de ley. </w:t>
      </w:r>
    </w:p>
    <w:p w14:paraId="1094FAB9" w14:textId="77777777" w:rsidR="00D17B12" w:rsidRDefault="00D17B12">
      <w:pPr>
        <w:spacing w:line="240" w:lineRule="auto"/>
        <w:ind w:left="720"/>
        <w:jc w:val="both"/>
        <w:rPr>
          <w:sz w:val="20"/>
          <w:szCs w:val="20"/>
        </w:rPr>
      </w:pPr>
    </w:p>
    <w:p w14:paraId="3E6356CF" w14:textId="77777777" w:rsidR="00D17B12" w:rsidRDefault="007526ED">
      <w:pPr>
        <w:spacing w:line="240" w:lineRule="auto"/>
        <w:ind w:left="720"/>
        <w:jc w:val="both"/>
        <w:rPr>
          <w:sz w:val="20"/>
          <w:szCs w:val="20"/>
        </w:rPr>
      </w:pPr>
      <w:r>
        <w:rPr>
          <w:sz w:val="20"/>
          <w:szCs w:val="20"/>
        </w:rPr>
        <w:tab/>
        <w:t>Los delitos cometidos por medio del libro, la prensa y demás medios de comunicación social se tipifican en el Código Penal y se juzgan en el fuero común.</w:t>
      </w:r>
    </w:p>
    <w:p w14:paraId="0406279B" w14:textId="77777777" w:rsidR="00D17B12" w:rsidRDefault="007526ED">
      <w:pPr>
        <w:spacing w:line="240" w:lineRule="auto"/>
        <w:ind w:left="720"/>
        <w:jc w:val="both"/>
        <w:rPr>
          <w:sz w:val="20"/>
          <w:szCs w:val="20"/>
        </w:rPr>
      </w:pPr>
      <w:r>
        <w:rPr>
          <w:sz w:val="20"/>
          <w:szCs w:val="20"/>
        </w:rPr>
        <w:t>(...)”</w:t>
      </w:r>
    </w:p>
    <w:p w14:paraId="7B2A2811" w14:textId="77777777" w:rsidR="00D17B12" w:rsidRDefault="007526ED">
      <w:pPr>
        <w:spacing w:before="240" w:line="240" w:lineRule="auto"/>
        <w:jc w:val="both"/>
      </w:pPr>
      <w:r>
        <w:t>Por su parte, el numeral 8 del artículo 2 de la Constitución Política del Perú, dispone lo siguiente:</w:t>
      </w:r>
    </w:p>
    <w:p w14:paraId="1B500E50" w14:textId="77777777" w:rsidR="00D17B12" w:rsidRDefault="00D17B12">
      <w:pPr>
        <w:spacing w:line="240" w:lineRule="auto"/>
        <w:jc w:val="both"/>
      </w:pPr>
    </w:p>
    <w:p w14:paraId="6941C988" w14:textId="77777777" w:rsidR="00D17B12" w:rsidRDefault="007526ED">
      <w:pPr>
        <w:spacing w:line="240" w:lineRule="auto"/>
        <w:ind w:left="720"/>
        <w:jc w:val="both"/>
        <w:rPr>
          <w:b/>
          <w:bCs/>
          <w:sz w:val="20"/>
          <w:szCs w:val="20"/>
        </w:rPr>
      </w:pPr>
      <w:r>
        <w:rPr>
          <w:sz w:val="20"/>
          <w:szCs w:val="20"/>
        </w:rPr>
        <w:t>“</w:t>
      </w:r>
      <w:r>
        <w:rPr>
          <w:b/>
          <w:bCs/>
          <w:sz w:val="20"/>
          <w:szCs w:val="20"/>
        </w:rPr>
        <w:t>Artículo 2.- Toda persona tiene derecho:</w:t>
      </w:r>
    </w:p>
    <w:p w14:paraId="1BDD68A2" w14:textId="77777777" w:rsidR="00D17B12" w:rsidRDefault="007526ED">
      <w:pPr>
        <w:spacing w:line="240" w:lineRule="auto"/>
        <w:ind w:left="720"/>
        <w:jc w:val="both"/>
        <w:rPr>
          <w:sz w:val="20"/>
          <w:szCs w:val="20"/>
        </w:rPr>
      </w:pPr>
      <w:r>
        <w:rPr>
          <w:sz w:val="20"/>
          <w:szCs w:val="20"/>
        </w:rPr>
        <w:t>(...)</w:t>
      </w:r>
    </w:p>
    <w:p w14:paraId="1803DCDB" w14:textId="77777777" w:rsidR="00D17B12" w:rsidRDefault="007526ED">
      <w:pPr>
        <w:spacing w:line="240" w:lineRule="auto"/>
        <w:ind w:left="720"/>
        <w:jc w:val="both"/>
        <w:rPr>
          <w:sz w:val="20"/>
          <w:szCs w:val="20"/>
        </w:rPr>
      </w:pPr>
      <w:r>
        <w:rPr>
          <w:sz w:val="20"/>
          <w:szCs w:val="20"/>
        </w:rPr>
        <w:t>8.</w:t>
      </w:r>
      <w:r>
        <w:rPr>
          <w:sz w:val="20"/>
          <w:szCs w:val="20"/>
        </w:rPr>
        <w:tab/>
        <w:t xml:space="preserve">A la libertad de creación intelectual, artística, técnica y científica, así como a la propiedad sobre dichas creaciones y a su producto. El Estado propicia el acceso a la cultura y fomenta su desarrollo y difusión. </w:t>
      </w:r>
    </w:p>
    <w:p w14:paraId="673C7467" w14:textId="77777777" w:rsidR="00D17B12" w:rsidRDefault="007526ED">
      <w:pPr>
        <w:spacing w:line="240" w:lineRule="auto"/>
        <w:ind w:left="720"/>
        <w:jc w:val="both"/>
        <w:rPr>
          <w:sz w:val="20"/>
          <w:szCs w:val="20"/>
        </w:rPr>
      </w:pPr>
      <w:r>
        <w:rPr>
          <w:sz w:val="20"/>
          <w:szCs w:val="20"/>
        </w:rPr>
        <w:t>(...)”</w:t>
      </w:r>
    </w:p>
    <w:p w14:paraId="154A9220" w14:textId="77777777" w:rsidR="00D17B12" w:rsidRDefault="007526ED">
      <w:pPr>
        <w:spacing w:before="240" w:line="240" w:lineRule="auto"/>
        <w:jc w:val="both"/>
      </w:pPr>
      <w:r>
        <w:t>La Constitución Política del Perú reconoce los derechos fundamentales a la libertad de expresión y a la libertad de creación, en concordancia con los tratados internacionales sobre derechos humanos ratificados por el Estado peruano y actualmente vigentes. Dichos instrumentos supranacionales forman parte del ordenamiento jurídico nacional, conforme a lo establecido en el artículo 55 de la Constitución, que dispone que los tratados celebrados por el Estado y en vigor forman parte del derecho nacional.</w:t>
      </w:r>
    </w:p>
    <w:p w14:paraId="68D48F05" w14:textId="77777777" w:rsidR="00D17B12" w:rsidRDefault="007526ED">
      <w:pPr>
        <w:spacing w:before="240" w:line="240" w:lineRule="auto"/>
        <w:jc w:val="both"/>
      </w:pPr>
      <w:r>
        <w:t xml:space="preserve">En efecto, el artículo 13 de la Convención Americana sobre Derechos Humanos (Pacto de San José), ratificado por el Perú en el año 1978, dispone que: </w:t>
      </w:r>
    </w:p>
    <w:p w14:paraId="3D7F91E7" w14:textId="77777777" w:rsidR="00D17B12" w:rsidRDefault="007526ED">
      <w:pPr>
        <w:spacing w:before="240" w:line="240" w:lineRule="auto"/>
        <w:ind w:left="720"/>
        <w:jc w:val="both"/>
        <w:rPr>
          <w:i/>
          <w:iCs/>
          <w:sz w:val="20"/>
          <w:szCs w:val="20"/>
        </w:rPr>
      </w:pPr>
      <w:r>
        <w:rPr>
          <w:i/>
          <w:iCs/>
          <w:sz w:val="20"/>
          <w:szCs w:val="20"/>
        </w:rPr>
        <w:t xml:space="preserve">“1.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 </w:t>
      </w:r>
    </w:p>
    <w:p w14:paraId="620D11A6" w14:textId="77777777" w:rsidR="00D17B12" w:rsidRDefault="007526ED">
      <w:pPr>
        <w:spacing w:before="240" w:line="240" w:lineRule="auto"/>
        <w:ind w:left="720"/>
        <w:jc w:val="both"/>
        <w:rPr>
          <w:i/>
          <w:iCs/>
          <w:sz w:val="20"/>
          <w:szCs w:val="20"/>
        </w:rPr>
      </w:pPr>
      <w:r>
        <w:rPr>
          <w:i/>
          <w:iCs/>
          <w:sz w:val="20"/>
          <w:szCs w:val="20"/>
        </w:rPr>
        <w:t xml:space="preserve">2. El ejercicio del derecho previsto en el inciso precedente no puede estar sujeto a previa censura sino a responsabilidades ulteriores, las que deben estar expresamente fijadas por la ley y ser necesarias para asegurar: </w:t>
      </w:r>
    </w:p>
    <w:p w14:paraId="2A6AF921" w14:textId="77777777" w:rsidR="00D17B12" w:rsidRDefault="007526ED">
      <w:pPr>
        <w:spacing w:before="240" w:line="240" w:lineRule="auto"/>
        <w:ind w:left="1440"/>
        <w:jc w:val="both"/>
        <w:rPr>
          <w:i/>
          <w:iCs/>
          <w:sz w:val="20"/>
          <w:szCs w:val="20"/>
        </w:rPr>
      </w:pPr>
      <w:r>
        <w:rPr>
          <w:i/>
          <w:iCs/>
          <w:sz w:val="20"/>
          <w:szCs w:val="20"/>
        </w:rPr>
        <w:t xml:space="preserve">a) el respeto a los derechos o a la reputación de los demás, o </w:t>
      </w:r>
    </w:p>
    <w:p w14:paraId="64E42913" w14:textId="77777777" w:rsidR="00D17B12" w:rsidRDefault="007526ED">
      <w:pPr>
        <w:spacing w:before="240" w:line="240" w:lineRule="auto"/>
        <w:ind w:left="1440"/>
        <w:jc w:val="both"/>
        <w:rPr>
          <w:i/>
          <w:iCs/>
          <w:sz w:val="20"/>
          <w:szCs w:val="20"/>
        </w:rPr>
      </w:pPr>
      <w:r>
        <w:rPr>
          <w:i/>
          <w:iCs/>
          <w:sz w:val="20"/>
          <w:szCs w:val="20"/>
        </w:rPr>
        <w:t xml:space="preserve">b) la protección de la seguridad nacional, el orden público o la salud o la moral públicas. </w:t>
      </w:r>
    </w:p>
    <w:p w14:paraId="20089FB0" w14:textId="77777777" w:rsidR="00D17B12" w:rsidRDefault="007526ED">
      <w:pPr>
        <w:spacing w:before="240" w:line="240" w:lineRule="auto"/>
        <w:ind w:left="720"/>
        <w:jc w:val="both"/>
        <w:rPr>
          <w:i/>
          <w:iCs/>
          <w:sz w:val="20"/>
          <w:szCs w:val="20"/>
        </w:rPr>
      </w:pPr>
      <w:r>
        <w:rPr>
          <w:i/>
          <w:iCs/>
          <w:sz w:val="20"/>
          <w:szCs w:val="20"/>
        </w:rPr>
        <w:t xml:space="preserve">3.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w:t>
      </w:r>
    </w:p>
    <w:p w14:paraId="05E2D7FE" w14:textId="77777777" w:rsidR="00D17B12" w:rsidRDefault="007526ED">
      <w:pPr>
        <w:spacing w:before="240" w:line="240" w:lineRule="auto"/>
        <w:ind w:left="720"/>
        <w:jc w:val="both"/>
        <w:rPr>
          <w:i/>
          <w:iCs/>
          <w:sz w:val="20"/>
          <w:szCs w:val="20"/>
        </w:rPr>
      </w:pPr>
      <w:r>
        <w:rPr>
          <w:i/>
          <w:iCs/>
          <w:sz w:val="20"/>
          <w:szCs w:val="20"/>
        </w:rPr>
        <w:t xml:space="preserve">4. Los espectáculos públicos pueden ser sometidos por la ley a censura previa con el exclusivo objeto de regular el acceso a ellos para la protección moral de la infancia y la adolescencia, sin perjuicio de lo establecido en el inciso 2. </w:t>
      </w:r>
    </w:p>
    <w:p w14:paraId="6A84CF76" w14:textId="77777777" w:rsidR="00D17B12" w:rsidRDefault="007526ED">
      <w:pPr>
        <w:spacing w:before="240" w:line="240" w:lineRule="auto"/>
        <w:ind w:left="720"/>
        <w:jc w:val="both"/>
        <w:rPr>
          <w:i/>
          <w:iCs/>
          <w:sz w:val="20"/>
          <w:szCs w:val="20"/>
        </w:rPr>
      </w:pPr>
      <w:r>
        <w:rPr>
          <w:i/>
          <w:iCs/>
          <w:sz w:val="20"/>
          <w:szCs w:val="20"/>
        </w:rPr>
        <w:t>5. Estará prohibida por la ley toda propaganda en favor de la guerra y toda apología del odio nacional, racial o religioso que constituyan incitaciones a la violencia o cualquier otra acción ilegal similar contra cualquier persona o grupo de personas, por ningún motivo, inclusive los de raza, color, religión, idioma u origen nacional.”</w:t>
      </w:r>
    </w:p>
    <w:p w14:paraId="0417D7CF" w14:textId="77777777" w:rsidR="00D17B12" w:rsidRDefault="007526ED">
      <w:pPr>
        <w:spacing w:before="240" w:line="240" w:lineRule="auto"/>
        <w:jc w:val="both"/>
      </w:pPr>
      <w:r>
        <w:t>Asimismo, el artículo 19 del Pacto Internacional de Derechos Civiles y Políticos, ratificado por el Perú en el año 1978, indica que:</w:t>
      </w:r>
    </w:p>
    <w:p w14:paraId="21BECFEE" w14:textId="77777777" w:rsidR="00D17B12" w:rsidRDefault="007526ED">
      <w:pPr>
        <w:pBdr>
          <w:top w:val="nil"/>
          <w:left w:val="nil"/>
          <w:bottom w:val="nil"/>
          <w:right w:val="nil"/>
          <w:between w:val="nil"/>
        </w:pBdr>
        <w:spacing w:before="240" w:line="240" w:lineRule="auto"/>
        <w:ind w:left="720"/>
        <w:jc w:val="both"/>
        <w:rPr>
          <w:i/>
          <w:iCs/>
          <w:sz w:val="20"/>
          <w:szCs w:val="20"/>
        </w:rPr>
      </w:pPr>
      <w:r>
        <w:rPr>
          <w:i/>
          <w:iCs/>
          <w:sz w:val="20"/>
          <w:szCs w:val="20"/>
        </w:rPr>
        <w:t>“1. Nadie podrá ser molestado a causa de sus opiniones.</w:t>
      </w:r>
    </w:p>
    <w:p w14:paraId="303BABFD" w14:textId="77777777" w:rsidR="00D17B12" w:rsidRDefault="007526ED">
      <w:pPr>
        <w:pBdr>
          <w:top w:val="nil"/>
          <w:left w:val="nil"/>
          <w:bottom w:val="nil"/>
          <w:right w:val="nil"/>
          <w:between w:val="nil"/>
        </w:pBdr>
        <w:spacing w:before="240" w:line="240" w:lineRule="auto"/>
        <w:ind w:left="720"/>
        <w:jc w:val="both"/>
        <w:rPr>
          <w:i/>
          <w:iCs/>
          <w:sz w:val="20"/>
          <w:szCs w:val="20"/>
        </w:rPr>
      </w:pPr>
      <w:r>
        <w:rPr>
          <w:i/>
          <w:iCs/>
          <w:sz w:val="20"/>
          <w:szCs w:val="20"/>
        </w:rPr>
        <w:t>2. Toda persona tiene derecho a la libertad de expresión; este derecho comprende la libertad de buscar, recibir y difundir informaciones e ideas de toda índole, sin consideración de fronteras, ya sea oralmente, por escrito o en forma impresa o artística, o por cualquier otro procedimiento de su elección.</w:t>
      </w:r>
    </w:p>
    <w:p w14:paraId="7C41CA2B" w14:textId="77777777" w:rsidR="00D17B12" w:rsidRDefault="007526ED">
      <w:pPr>
        <w:pBdr>
          <w:top w:val="nil"/>
          <w:left w:val="nil"/>
          <w:bottom w:val="nil"/>
          <w:right w:val="nil"/>
          <w:between w:val="nil"/>
        </w:pBdr>
        <w:spacing w:before="240" w:line="240" w:lineRule="auto"/>
        <w:ind w:left="720"/>
        <w:jc w:val="both"/>
        <w:rPr>
          <w:i/>
          <w:iCs/>
          <w:sz w:val="20"/>
          <w:szCs w:val="20"/>
        </w:rPr>
      </w:pPr>
      <w:r>
        <w:rPr>
          <w:i/>
          <w:iCs/>
          <w:sz w:val="20"/>
          <w:szCs w:val="20"/>
        </w:rPr>
        <w:t>3. El ejercicio del derecho previsto en el párrafo 2 de este artículo entraña deberes y responsabilidades especiales. Por consiguiente, puede estar sujeto a ciertas restricciones, que deberán, sin embargo, estar expresamente fijadas por la ley y ser necesarias para:</w:t>
      </w:r>
    </w:p>
    <w:p w14:paraId="02F5DBD8" w14:textId="77777777" w:rsidR="00D17B12" w:rsidRDefault="007526ED">
      <w:pPr>
        <w:pBdr>
          <w:top w:val="nil"/>
          <w:left w:val="nil"/>
          <w:bottom w:val="nil"/>
          <w:right w:val="nil"/>
          <w:between w:val="nil"/>
        </w:pBdr>
        <w:spacing w:before="240" w:line="240" w:lineRule="auto"/>
        <w:ind w:left="1440"/>
        <w:jc w:val="both"/>
        <w:rPr>
          <w:i/>
          <w:iCs/>
          <w:sz w:val="20"/>
          <w:szCs w:val="20"/>
        </w:rPr>
      </w:pPr>
      <w:r>
        <w:rPr>
          <w:i/>
          <w:iCs/>
          <w:sz w:val="20"/>
          <w:szCs w:val="20"/>
        </w:rPr>
        <w:t>a) Asegurar el respeto a los derechos o a la reputación de los demás;</w:t>
      </w:r>
    </w:p>
    <w:p w14:paraId="2CFFA9A3" w14:textId="77777777" w:rsidR="00D17B12" w:rsidRDefault="007526ED">
      <w:pPr>
        <w:pBdr>
          <w:top w:val="nil"/>
          <w:left w:val="nil"/>
          <w:bottom w:val="nil"/>
          <w:right w:val="nil"/>
          <w:between w:val="nil"/>
        </w:pBdr>
        <w:spacing w:before="240" w:line="240" w:lineRule="auto"/>
        <w:ind w:left="1440"/>
        <w:jc w:val="both"/>
        <w:rPr>
          <w:rFonts w:ascii="Roboto" w:eastAsia="Roboto" w:hAnsi="Roboto" w:cs="Roboto"/>
          <w:i/>
          <w:iCs/>
          <w:color w:val="4A4A4A"/>
          <w:sz w:val="27"/>
          <w:szCs w:val="27"/>
        </w:rPr>
      </w:pPr>
      <w:r>
        <w:rPr>
          <w:i/>
          <w:iCs/>
          <w:sz w:val="20"/>
          <w:szCs w:val="20"/>
        </w:rPr>
        <w:t>b) La protección de la seguridad nacional, el orden público o la salud o la moral públicas.”</w:t>
      </w:r>
    </w:p>
    <w:p w14:paraId="671BA696" w14:textId="77777777" w:rsidR="00D17B12" w:rsidRDefault="007526ED">
      <w:pPr>
        <w:spacing w:before="240" w:line="240" w:lineRule="auto"/>
        <w:jc w:val="both"/>
      </w:pPr>
      <w:r>
        <w:t xml:space="preserve">En cuanto al contenido del derecho a la libertad de expresión y de pensamiento, quienes están bajo la protección de la Convención tienen no sólo el derecho y la libertad de expresar su propio pensamiento, sino también el derecho y la libertad de buscar, recibir y difundir informaciones e ideas de toda índole. Es por ello que la libertad de expresión tiene una dimensión individual y una dimensión social, a saber: </w:t>
      </w:r>
    </w:p>
    <w:p w14:paraId="2AD2A734" w14:textId="77777777" w:rsidR="00D17B12" w:rsidRDefault="007526ED">
      <w:pPr>
        <w:spacing w:before="240" w:line="240" w:lineRule="auto"/>
        <w:ind w:left="720"/>
        <w:jc w:val="both"/>
      </w:pPr>
      <w:r>
        <w:t>“(...) ésta requiere, por un lado, que nadie sea arbitrariamente menoscabado o impedido de manifestar su propio pensamiento y representa, por tanto, un derecho de cada individuo; pero implica también, por otro lado, un derecho colectivo a recibir cualquier información y a conocer la expresión del pensamiento ajeno”</w:t>
      </w:r>
      <w:r>
        <w:rPr>
          <w:vertAlign w:val="superscript"/>
        </w:rPr>
        <w:footnoteReference w:id="48"/>
      </w:r>
      <w:r>
        <w:t>.</w:t>
      </w:r>
    </w:p>
    <w:p w14:paraId="6E654024" w14:textId="77777777" w:rsidR="00D17B12" w:rsidRDefault="007526ED">
      <w:pPr>
        <w:spacing w:before="240" w:line="240" w:lineRule="auto"/>
        <w:jc w:val="both"/>
        <w:rPr>
          <w:shd w:val="clear" w:color="auto" w:fill="4A86E8"/>
        </w:rPr>
      </w:pPr>
      <w:r>
        <w:t>En ese sentido, proteger la libertad de expresión en la creación cinematográfica y audiovisual implica contar con un marco normativo claro, objetivo y transparente, que impulse la producción y circulación de obras peruanas, respetando dicho derecho constitucional. La Ley N.° 32309, al establecer incentivos económicos y fiscales para promover las actividades cinematográficas y audiovisuales, representa una valiosa oportunidad para fortalecer el sector. Para potenciar aún más sus beneficios, su reglamentación incorpora salvaguardas explícitas de legalidad, proporcionalidad y transparencia que buscan asegurar que estos incentivos fomentan la diversidad cultural y la pluralidad de voces. De este modo, se garantiza que la libertad creativa y el derecho a la libre expresión artística se desarrollen plenamente.</w:t>
      </w:r>
    </w:p>
    <w:p w14:paraId="3D5AA581" w14:textId="77777777" w:rsidR="00D17B12" w:rsidRDefault="007526ED">
      <w:pPr>
        <w:spacing w:before="240" w:line="240" w:lineRule="auto"/>
        <w:ind w:left="566" w:hanging="566"/>
        <w:jc w:val="both"/>
        <w:rPr>
          <w:b/>
          <w:bCs/>
        </w:rPr>
      </w:pPr>
      <w:r>
        <w:rPr>
          <w:b/>
          <w:bCs/>
        </w:rPr>
        <w:t xml:space="preserve">e) </w:t>
      </w:r>
      <w:r>
        <w:rPr>
          <w:b/>
          <w:bCs/>
        </w:rPr>
        <w:tab/>
        <w:t>Sobre la inclusión de supuestos que restringen el acceso a los beneficios de los estímulos económicos en el artículo 13.3 de la Ley</w:t>
      </w:r>
    </w:p>
    <w:p w14:paraId="598C2C97" w14:textId="77777777" w:rsidR="00D17B12" w:rsidRDefault="007526ED">
      <w:pPr>
        <w:spacing w:before="240" w:line="240" w:lineRule="auto"/>
        <w:jc w:val="both"/>
      </w:pPr>
      <w:r>
        <w:t>El numeral 13.3 del artículo 13 de la Ley N.° 32309 establece lo siguiente:</w:t>
      </w:r>
    </w:p>
    <w:p w14:paraId="719777D1" w14:textId="77777777" w:rsidR="00D17B12" w:rsidRDefault="007526ED">
      <w:pPr>
        <w:spacing w:before="240" w:line="240" w:lineRule="auto"/>
        <w:ind w:left="720"/>
        <w:jc w:val="both"/>
        <w:rPr>
          <w:b/>
          <w:bCs/>
        </w:rPr>
      </w:pPr>
      <w:r>
        <w:t>“</w:t>
      </w:r>
      <w:r>
        <w:rPr>
          <w:b/>
          <w:bCs/>
        </w:rPr>
        <w:t>Artículo 13.- Estímulos económicos a las actividades cinematográfica y audiovisuales regionales</w:t>
      </w:r>
    </w:p>
    <w:p w14:paraId="5ADC7A65" w14:textId="77777777" w:rsidR="00D17B12" w:rsidRDefault="007526ED">
      <w:pPr>
        <w:spacing w:before="240" w:line="240" w:lineRule="auto"/>
        <w:ind w:left="720"/>
        <w:jc w:val="both"/>
      </w:pPr>
      <w:r>
        <w:t>(...)</w:t>
      </w:r>
    </w:p>
    <w:p w14:paraId="57505D11" w14:textId="77777777" w:rsidR="00D17B12" w:rsidRDefault="007526ED">
      <w:pPr>
        <w:spacing w:before="240" w:line="240" w:lineRule="auto"/>
        <w:ind w:left="720"/>
        <w:jc w:val="both"/>
      </w:pPr>
      <w:r>
        <w:t>13.3. No pueden beneficiarse de los estímulos económicos señalados en los artículos 13 y 14 aquellas obras cinematográficas y audiovisuales destinadas a pautas publicitarias, propaganda electoral o en beneficio directo de una organización política; ni aquellas que atenten contra el Estado de derecho, así como aquellas que contravengan la defensa nacional, la seguridad o el orden interno del país; o vulneren los principios reconocidos en la Constitución Política del Perú y el ordenamiento jurídico peruano.”</w:t>
      </w:r>
    </w:p>
    <w:p w14:paraId="410F2FFD" w14:textId="77777777" w:rsidR="00D17B12" w:rsidRDefault="007526ED">
      <w:pPr>
        <w:spacing w:before="240" w:line="240" w:lineRule="auto"/>
        <w:jc w:val="both"/>
      </w:pPr>
      <w:r>
        <w:t>Se advierte que este numeral de la Ley establece ciertas restricciones para asegurar que los estímulos económicos se destinen exclusivamente a la finalidad pública de fomento de la actividad cinematográfica y audiovisual, evitando su uso en propaganda política o en actividades ajenas a dicho propósito, como ya lo establecía el DU 022-2019 en su artículo 4</w:t>
      </w:r>
      <w:r>
        <w:rPr>
          <w:vertAlign w:val="superscript"/>
        </w:rPr>
        <w:footnoteReference w:id="49"/>
      </w:r>
      <w:r>
        <w:t>. La Ley N.° 32309 amplía el alcance de dichas limitaciones, incluyendo conceptos más amplios como el “Estado de derecho”, la “defensa nacional”, la “seguridad” o el “orden interno del país”. Estas limitaciones deben interpretarse conforme al principio de legalidad que rige toda actuación administrativa y que exige que las entidades actúen dentro de las facultades que la ley les otorga (numeral 1.1 del artículo IV de la LPAG).</w:t>
      </w:r>
    </w:p>
    <w:p w14:paraId="7EB0DC71" w14:textId="77777777" w:rsidR="00D17B12" w:rsidRDefault="007526ED">
      <w:pPr>
        <w:spacing w:before="240" w:after="240" w:line="240" w:lineRule="auto"/>
        <w:jc w:val="both"/>
      </w:pPr>
      <w:r>
        <w:t xml:space="preserve">     Asimismo, el numeral 13.4 del mismo artículo dispone que:</w:t>
      </w:r>
    </w:p>
    <w:p w14:paraId="6205CB97" w14:textId="77777777" w:rsidR="00D17B12" w:rsidRDefault="007526ED">
      <w:pPr>
        <w:spacing w:before="240" w:line="240" w:lineRule="auto"/>
        <w:ind w:left="720"/>
        <w:jc w:val="both"/>
        <w:rPr>
          <w:b/>
          <w:bCs/>
        </w:rPr>
      </w:pPr>
      <w:r>
        <w:t>“</w:t>
      </w:r>
      <w:r>
        <w:rPr>
          <w:b/>
          <w:bCs/>
        </w:rPr>
        <w:t>Artículo 13.- Estímulos económicos a las actividades cinematográfica y audiovisuales regionales</w:t>
      </w:r>
    </w:p>
    <w:p w14:paraId="13605978" w14:textId="77777777" w:rsidR="00D17B12" w:rsidRDefault="007526ED">
      <w:pPr>
        <w:spacing w:before="240" w:line="240" w:lineRule="auto"/>
        <w:ind w:firstLine="720"/>
        <w:jc w:val="both"/>
      </w:pPr>
      <w:r>
        <w:t>(...)</w:t>
      </w:r>
    </w:p>
    <w:p w14:paraId="7254FC80" w14:textId="77777777" w:rsidR="00D17B12" w:rsidRDefault="007526ED">
      <w:pPr>
        <w:spacing w:before="240" w:line="240" w:lineRule="auto"/>
        <w:ind w:left="720"/>
        <w:jc w:val="both"/>
      </w:pPr>
      <w:r>
        <w:t>13.4. Mediante reglamento, el Ministerio de Cultura dispone que la Dirección del audiovisual, la fonografía y los nuevos medios (DAFO) sea el órgano encargado de verificar el cumplimiento de los supuestos referidos en el párrafo 13.3. Este documento con la calificación realizada debe ser publicado y notificado a los interesados oportunamente.”</w:t>
      </w:r>
    </w:p>
    <w:p w14:paraId="4167A546" w14:textId="77777777" w:rsidR="00D17B12" w:rsidRDefault="007526ED">
      <w:pPr>
        <w:spacing w:before="240" w:after="240" w:line="240" w:lineRule="auto"/>
        <w:jc w:val="both"/>
      </w:pPr>
      <w:r>
        <w:t xml:space="preserve">Si bien el numeral 13.4 señala que el Ministerio de Cultura debe prever que la DAFO verifique el cumplimiento de esos supuestos, es importante precisar el alcance de dicha función. Conforme al Reglamento de Organización y Funciones del Ministerio de Cultura, la DAFO es un órgano especializado en promoción, fomento y desarrollo de la actividad audiovisual. Así tenemos que el artículo 80 de dicho reglamento establece que la DAFO es “(...) la unidad orgánica encargada de diseñar, proponer, promover y ejecutar las políticas, planes, estrategias y normas para el desarrollo y promoción de la industria audiovisual, fonográfica y de nuevos medios aplicados a la producción cultural”.               </w:t>
      </w:r>
    </w:p>
    <w:p w14:paraId="403C4220" w14:textId="77777777" w:rsidR="00D17B12" w:rsidRDefault="007526ED">
      <w:pPr>
        <w:spacing w:before="240" w:after="240" w:line="240" w:lineRule="auto"/>
        <w:jc w:val="both"/>
      </w:pPr>
      <w:r>
        <w:t>En atención a estos límites y a la necesidad de asegurar seguridad jurídica, transparencia y pleno respeto por la libertad creativa, la verificación formal se realiza desde la DAFO sin constituir comités adicionales, manteniendo así la coherencia con el principio de legalidad, evitando cualquier interferencia en la libertad artística y asegurando que los incentivos cumplan su finalidad de promover un ecosistema audiovisual y cinematográfico diverso, plural y respetuoso con los derechos fundamentales.</w:t>
      </w:r>
    </w:p>
    <w:p w14:paraId="62C19B57" w14:textId="77777777" w:rsidR="00D17B12" w:rsidRDefault="007526ED">
      <w:pPr>
        <w:spacing w:before="240" w:after="240" w:line="240" w:lineRule="auto"/>
        <w:ind w:left="567" w:hanging="567"/>
        <w:jc w:val="both"/>
        <w:rPr>
          <w:b/>
          <w:bCs/>
        </w:rPr>
      </w:pPr>
      <w:r>
        <w:rPr>
          <w:b/>
          <w:bCs/>
        </w:rPr>
        <w:t xml:space="preserve">6.4. </w:t>
      </w:r>
      <w:r>
        <w:rPr>
          <w:b/>
          <w:bCs/>
        </w:rPr>
        <w:tab/>
        <w:t>Incentivos no económicos para las actividades cinematográficas y audiovisuales</w:t>
      </w:r>
    </w:p>
    <w:p w14:paraId="38715104" w14:textId="77777777" w:rsidR="00D17B12" w:rsidRDefault="007526ED">
      <w:pPr>
        <w:spacing w:before="240" w:line="240" w:lineRule="auto"/>
        <w:jc w:val="both"/>
      </w:pPr>
      <w:r>
        <w:t>Si bien las subvenciones económicas constituyen el instrumento más característico de la actividad administrativa de fomento, no agotan el catálogo de mecanismos previstos por la Ley N.° 32309. En efecto, el régimen legal contempla también estímulos no económicos, entendidos como prestaciones administrativas de contenido no patrimonial, orientadas a aliviar las cargas estructurales del sector audiovisual o a promover directamente las condiciones necesarias para su desarrollo.</w:t>
      </w:r>
    </w:p>
    <w:p w14:paraId="6E3DDC52" w14:textId="77777777" w:rsidR="00D17B12" w:rsidRDefault="007526ED">
      <w:pPr>
        <w:spacing w:before="240" w:line="240" w:lineRule="auto"/>
        <w:jc w:val="both"/>
      </w:pPr>
      <w:r>
        <w:t xml:space="preserve">Este tipo de fomento, aunque no generan una transferencia de recursos financieros al administrado, implican una intervención activa del Estado mediante la provisión de servicios o la ejecución de medidas técnicas, culturales o educativas. </w:t>
      </w:r>
    </w:p>
    <w:p w14:paraId="563A15C5" w14:textId="77777777" w:rsidR="00D17B12" w:rsidRDefault="007526ED">
      <w:pPr>
        <w:spacing w:before="240" w:line="240" w:lineRule="auto"/>
        <w:jc w:val="both"/>
        <w:rPr>
          <w:highlight w:val="white"/>
        </w:rPr>
      </w:pPr>
      <w:r>
        <w:rPr>
          <w:highlight w:val="white"/>
        </w:rPr>
        <w:t>En este ámbito, el Ministerio de Cultura, de manera independiente y también en coordinación con otras entidades del Estado, promueve acciones vinculadas a la formación, a la promoción nacional e internacional de las producciones cinematográficas y audiovisuales desarrolladas en el territorio nacional, así como a la preservación y conservación de las mismas.</w:t>
      </w:r>
    </w:p>
    <w:p w14:paraId="0D621AA2" w14:textId="77777777" w:rsidR="00D17B12" w:rsidRDefault="007526ED">
      <w:pPr>
        <w:numPr>
          <w:ilvl w:val="0"/>
          <w:numId w:val="3"/>
        </w:numPr>
        <w:spacing w:before="240" w:line="240" w:lineRule="auto"/>
        <w:ind w:left="567" w:hanging="567"/>
        <w:jc w:val="both"/>
        <w:rPr>
          <w:b/>
          <w:bCs/>
          <w:highlight w:val="white"/>
        </w:rPr>
      </w:pPr>
      <w:r>
        <w:rPr>
          <w:b/>
          <w:bCs/>
          <w:highlight w:val="white"/>
        </w:rPr>
        <w:t>Formación, capacitación y especialización profesional en la actividad cinematográfica y audiovisual</w:t>
      </w:r>
    </w:p>
    <w:p w14:paraId="07A47A31" w14:textId="77777777" w:rsidR="00D17B12" w:rsidRDefault="007526ED">
      <w:pPr>
        <w:spacing w:before="240" w:line="240" w:lineRule="auto"/>
        <w:jc w:val="both"/>
        <w:rPr>
          <w:highlight w:val="white"/>
        </w:rPr>
      </w:pPr>
      <w:r>
        <w:rPr>
          <w:highlight w:val="white"/>
        </w:rPr>
        <w:t>Uno de los objetivos de la Ley N.° 30329, detallados en el numeral 6.2 del artículo 6 de la misma, establece que el fomento de obras cinematográficas y audiovisuales se centra en el cumplimiento de objetivos, entre ellos, el de la formación, capacitación y especialización profesional en la actividad cinematográfica y audiovisual, tanto en el territorio peruano como en el extranjero.</w:t>
      </w:r>
    </w:p>
    <w:p w14:paraId="4BF06C43" w14:textId="77777777" w:rsidR="00D17B12" w:rsidRDefault="007526ED">
      <w:pPr>
        <w:spacing w:before="240" w:line="240" w:lineRule="auto"/>
        <w:jc w:val="both"/>
        <w:rPr>
          <w:highlight w:val="white"/>
        </w:rPr>
      </w:pPr>
      <w:r>
        <w:rPr>
          <w:highlight w:val="white"/>
        </w:rPr>
        <w:t>La promoción de la formación profesional en el ámbito cinematográfico y audiovisual constituye una condición esencial para el fortalecimiento de la cadena de valor del ecosistema cultural dirigido al sector audiovisual. Así lo ha señalado la UNESCO al indicar que “las políticas y medidas que fomentan la creación forman el primer eslabón de la cadena de valor y comienzan con el apoyo a la educación y formación de nuevos talentos”.</w:t>
      </w:r>
      <w:r>
        <w:rPr>
          <w:highlight w:val="white"/>
          <w:vertAlign w:val="superscript"/>
        </w:rPr>
        <w:footnoteReference w:id="50"/>
      </w:r>
    </w:p>
    <w:p w14:paraId="61762499" w14:textId="77777777" w:rsidR="00D17B12" w:rsidRDefault="007526ED">
      <w:pPr>
        <w:spacing w:before="240" w:line="240" w:lineRule="auto"/>
        <w:jc w:val="both"/>
        <w:rPr>
          <w:highlight w:val="white"/>
        </w:rPr>
      </w:pPr>
      <w:r>
        <w:rPr>
          <w:highlight w:val="white"/>
        </w:rPr>
        <w:t>Asimismo, estas disposiciones a favor del fortalecimiento de capacidades, se enmarcan en los objetivos de la PNC, que en su Objetivo Prioritario 2 (“Incrementar la participación de la población en las expresiones artístico-culturales”) establece como lineamiento 2.2 “fortalecer las capacidades de los ciudadanos y ciudadanas para el desarrollo de su creatividad y de manifestaciones culturales cotidianas”. Por tanto, en el reglamento se busca consolidar el fomento no económico dirigido a la formación, al fortalecimiento de capacidades de los agentes del sector, que favorezca la innovación y la calidad de la producción cinematográfica y audiovisual peruana, así como el desarrollo profesional de dichos agentes, con énfasis particular en la formación de nuevos realizadores y productores.</w:t>
      </w:r>
    </w:p>
    <w:p w14:paraId="0C66EEC2" w14:textId="77777777" w:rsidR="00D17B12" w:rsidRDefault="007526ED">
      <w:pPr>
        <w:numPr>
          <w:ilvl w:val="0"/>
          <w:numId w:val="3"/>
        </w:numPr>
        <w:spacing w:before="240" w:line="240" w:lineRule="auto"/>
        <w:ind w:left="567" w:hanging="567"/>
        <w:jc w:val="both"/>
        <w:rPr>
          <w:b/>
          <w:bCs/>
          <w:highlight w:val="white"/>
        </w:rPr>
      </w:pPr>
      <w:r>
        <w:rPr>
          <w:b/>
          <w:bCs/>
          <w:highlight w:val="white"/>
        </w:rPr>
        <w:t>Promoción nacional e internacional de las producciones cinematográficas y audiovisuales</w:t>
      </w:r>
    </w:p>
    <w:p w14:paraId="63E22E8A" w14:textId="77777777" w:rsidR="00D17B12" w:rsidRDefault="007526ED">
      <w:pPr>
        <w:spacing w:before="240" w:line="240" w:lineRule="auto"/>
        <w:jc w:val="both"/>
      </w:pPr>
      <w:r>
        <w:t>El numeral 10.1 del artículo 10 de la Ley N.° 32309 indica que “el Ministerio de Cultura y el Ministerio de Relaciones Exteriores, en el marco de sus competencias, realizan acciones de promoción internacional de las producciones cinematográficas y audiovisuales desarrolladas en el territorio nacional, posicionando su presencia en eventos internacionales. De igual manera, promueven condiciones favorables para las producciones cinematográficas y audiovisuales, sean nacionales o extranjeras en el Perú”. De igual manera, el numeral 10.3 de dicho artículo dispone la coordinación entre PROMPERÚ, quien actúa en calidad de comisión fílmica del Perú, con otras entidades del estado, incluido el Ministerio de Cultura, con el fin de promover el uso de locaciones del territorio nacional para la producción de obras cinematográficas y audiovisuales nacionales o extranjeras.</w:t>
      </w:r>
    </w:p>
    <w:p w14:paraId="77204875" w14:textId="77777777" w:rsidR="00D17B12" w:rsidRDefault="007526ED">
      <w:pPr>
        <w:spacing w:before="240" w:line="240" w:lineRule="auto"/>
        <w:jc w:val="both"/>
      </w:pPr>
      <w:r>
        <w:t>Al respecto, el Ministerio de Cultura, a través de la DAFO, viene promoviendo de forma sostenida las condiciones favorables para la producción cinematográfica y audiovisual nacional y extranjera en el Perú, lo cual se evidencia en la participación activa de la DAFO en instancias internacionales como la Conferencia de Autoridades Audiovisuales y Cinematográficas de Iberoamérica (</w:t>
      </w:r>
      <w:r>
        <w:rPr>
          <w:b/>
          <w:bCs/>
        </w:rPr>
        <w:t>CAACI</w:t>
      </w:r>
      <w:r>
        <w:t>)</w:t>
      </w:r>
      <w:r>
        <w:rPr>
          <w:vertAlign w:val="superscript"/>
        </w:rPr>
        <w:footnoteReference w:id="51"/>
      </w:r>
      <w:r>
        <w:t xml:space="preserve">, entidad conformada por las autoridades audiovisuales y cinematográficas de todos los países de Iberoamérica, así como con sus acuerdos, programas y proyectos en ejecución. </w:t>
      </w:r>
    </w:p>
    <w:p w14:paraId="2C88B906" w14:textId="77777777" w:rsidR="00D17B12" w:rsidRDefault="007526ED">
      <w:pPr>
        <w:spacing w:before="240" w:line="240" w:lineRule="auto"/>
        <w:jc w:val="both"/>
      </w:pPr>
      <w:r>
        <w:t>De hecho, en el año 2021, el Ministro de Cultura recibió el reconocimiento otorgado por la CAACI, por los aportes realizados en gestión audiovisual que contribuyeron al desarrollo de la cinematografía y el audiovisual del país y de la región iberoamericana, y fue el primer premio que se otorgó desde su creación en 1989</w:t>
      </w:r>
      <w:r>
        <w:rPr>
          <w:vertAlign w:val="superscript"/>
        </w:rPr>
        <w:footnoteReference w:id="52"/>
      </w:r>
      <w:r>
        <w:t>.</w:t>
      </w:r>
    </w:p>
    <w:p w14:paraId="142EF339" w14:textId="77777777" w:rsidR="00D17B12" w:rsidRDefault="007526ED">
      <w:pPr>
        <w:spacing w:before="240" w:line="240" w:lineRule="auto"/>
        <w:jc w:val="both"/>
      </w:pPr>
      <w:r>
        <w:t>De manera específica, con relación a las condiciones favorables para las producciones cinematográficas y audiovisuales, la DAFO ha venido desarrollando, entre otras, las siguientes acciones a lo largo de los años:</w:t>
      </w:r>
    </w:p>
    <w:p w14:paraId="68359597" w14:textId="77777777" w:rsidR="00D17B12" w:rsidRDefault="007526ED">
      <w:pPr>
        <w:spacing w:before="240" w:line="240" w:lineRule="auto"/>
        <w:ind w:left="1275" w:hanging="566"/>
        <w:jc w:val="both"/>
      </w:pPr>
      <w:r>
        <w:t xml:space="preserve">i) </w:t>
      </w:r>
      <w:r>
        <w:tab/>
      </w:r>
      <w:r>
        <w:rPr>
          <w:b/>
          <w:bCs/>
        </w:rPr>
        <w:t>Emisión de cartas de presentación:</w:t>
      </w:r>
      <w:r>
        <w:t xml:space="preserve"> para proyectos nacionales, la DAFO emite cartas de presentación y constancias a todos los beneficiarios de estímulos económicos destinados a la actividad cinematográfica y audiovisual. En el caso de proyectos extranjeros, la DAFO solicita previamente la documentación necesaria para verificar que las acciones a realizar estén vinculadas a la actividad cinematográfica y audiovisual. Asimismo, puede convocar reuniones de coordinación para recabar información complementaria que fortalezca los argumentos de evaluación. Una vez revisada la información, la DAFO emite una opinión favorable o desfavorable sobre el proyecto. Si la opinión es favorable, se procede a emitir cartas de presentación a las entidades involucradas, garantizando las facilidades necesarias y coordinando acciones interinstitucionales e intrainstitucionales.</w:t>
      </w:r>
    </w:p>
    <w:p w14:paraId="6AB8B16C" w14:textId="77777777" w:rsidR="00D17B12" w:rsidRDefault="007526ED">
      <w:pPr>
        <w:spacing w:before="240" w:line="240" w:lineRule="auto"/>
        <w:ind w:left="1275" w:hanging="566"/>
        <w:jc w:val="both"/>
      </w:pPr>
      <w:r>
        <w:t xml:space="preserve">ii) </w:t>
      </w:r>
      <w:r>
        <w:tab/>
      </w:r>
      <w:r>
        <w:rPr>
          <w:b/>
          <w:bCs/>
        </w:rPr>
        <w:t>Coordinación interinstitucional con la Superintendencia Nacional de Aduanas y de Administración Tributaria (SUNAT):</w:t>
      </w:r>
      <w:r>
        <w:t xml:space="preserve"> con la finalidad de presentar formalmente a determinados proyectos cinematográficos y audiovisuales, la DAFO coordina con la SUNAT para asegurar el ingreso de determinado material cinematográfico sensible a rayos X al territorio nacional,  indicando si estos proyectos se encuentran reconocidos e inscritos en el RENCA.</w:t>
      </w:r>
    </w:p>
    <w:p w14:paraId="4A7B67D5" w14:textId="77777777" w:rsidR="00D17B12" w:rsidRDefault="007526ED">
      <w:pPr>
        <w:spacing w:before="240" w:line="240" w:lineRule="auto"/>
        <w:ind w:left="1275" w:hanging="566"/>
        <w:jc w:val="both"/>
      </w:pPr>
      <w:r>
        <w:t>iii)</w:t>
      </w:r>
      <w:r>
        <w:tab/>
      </w:r>
      <w:r>
        <w:rPr>
          <w:b/>
          <w:bCs/>
        </w:rPr>
        <w:t>Cooperación en proyectos normativos dirigidos a facilitar las producciones nacionales:</w:t>
      </w:r>
      <w:r>
        <w:t xml:space="preserve"> El Ministerio de Cultura, a través de la DAFO,  participó por ejemplo en la Mesa Ejecutiva liderada por el MEF durante la elaboración de la propuesta de procedimiento administrativo para la solicitud de la calidad migratoria de producción artística. Esta participación busca garantizar que personas extranjeras cuenten con una situación migratoria regular, habilitándolas para desarrollar las actividades previstas en un proyecto cinematográfico o audiovisual sin inconvenientes. </w:t>
      </w:r>
    </w:p>
    <w:p w14:paraId="7B4B29EC" w14:textId="77777777" w:rsidR="00D17B12" w:rsidRDefault="007526ED">
      <w:pPr>
        <w:spacing w:before="240" w:line="240" w:lineRule="auto"/>
        <w:ind w:left="1275" w:hanging="566"/>
        <w:jc w:val="both"/>
      </w:pPr>
      <w:r>
        <w:t>iv)</w:t>
      </w:r>
      <w:r>
        <w:tab/>
      </w:r>
      <w:r>
        <w:rPr>
          <w:b/>
          <w:bCs/>
        </w:rPr>
        <w:t xml:space="preserve">Emisión de opiniones y recomendaciones: </w:t>
      </w:r>
      <w:r>
        <w:t>La DAFO emite opiniones y recomendaciones a la Dirección General de Museos, o a la Dirección competente del Ministerio de Cultura, sobre la naturaleza de los proyectos cinematográficos o audiovisuales que soliciten autorización de filmación de espacios que se encuentran a cargo de las Direcciones competentes; así como emisión de opinión para Visas respecto a si un proyecto es cinematográfico o audiovisual, a fin de determinar si las personas naturales extranjeras solicitantes se encuentren relacionadas a la actividad cinematográfica o audiovisual.</w:t>
      </w:r>
    </w:p>
    <w:p w14:paraId="0D9430E2" w14:textId="77777777" w:rsidR="00D17B12" w:rsidRDefault="007526ED">
      <w:pPr>
        <w:spacing w:before="240" w:after="240" w:line="240" w:lineRule="auto"/>
        <w:jc w:val="both"/>
      </w:pPr>
      <w:r>
        <w:t>En este sentido, considerando las acciones y actividades que realiza el Ministerio de Cultura a través de la DAFO, el reglamento establece de manera más precisa dichas acciones, con el objetivo de garantizar el cumplimiento de lo dispuesto por la Ley en cuanto a su obligación de crear condiciones favorables para el desarrollo de la industria cinematográfica.</w:t>
      </w:r>
    </w:p>
    <w:p w14:paraId="0924022E" w14:textId="77777777" w:rsidR="00D17B12" w:rsidRDefault="007526ED">
      <w:pPr>
        <w:spacing w:before="240" w:after="240" w:line="240" w:lineRule="auto"/>
        <w:jc w:val="both"/>
      </w:pPr>
      <w:r>
        <w:t>Asimismo, dentro del marco de las competencias del Ministerio de Cultura, la Ley contempla la coordinación con la Comisión de Promoción del Perú para la Exportación y el Turismo (PROMPERÚ) para fomentar la proyección internacional del sector cinematográfico y audiovisual, así como para posicionar al Perú como un país de cultura, creatividad y destino para la producción audiovisual, conforme al numeral 10.3 del artículo 10 de la Ley N.° 32309. El reglamento recoge este abanico de posibilidades de coordinación, que se presenta como orientativo y flexible, permitiendo explorar distintas formas de colaboración.</w:t>
      </w:r>
    </w:p>
    <w:p w14:paraId="45745B67" w14:textId="77777777" w:rsidR="00D17B12" w:rsidRDefault="007526ED">
      <w:pPr>
        <w:spacing w:before="240" w:after="240" w:line="240" w:lineRule="auto"/>
        <w:jc w:val="both"/>
      </w:pPr>
      <w:r>
        <w:t>Cabe destacar que estas acciones buscan articular las competencias del Ministerio de Cultura, PROMPERÚ y del Ministerio de Relaciones Exteriores. Esta coordinación resulta indispensable, ya que los incentivos económicos y fiscales por sí solos no son suficientes para posicionar la industria cinematográfica y audiovisual peruana en el ámbito internacional ni para atraer producciones extranjeras. Es fundamental, primero, fortalecer la creación y producción nacional, de manera que el país se consolide como un referente atractivo para la inversión y colaboración extranjera.</w:t>
      </w:r>
    </w:p>
    <w:p w14:paraId="1BE35D34" w14:textId="77777777" w:rsidR="00D17B12" w:rsidRDefault="007526ED">
      <w:pPr>
        <w:numPr>
          <w:ilvl w:val="0"/>
          <w:numId w:val="3"/>
        </w:numPr>
        <w:spacing w:before="240" w:line="240" w:lineRule="auto"/>
        <w:ind w:left="567" w:hanging="567"/>
        <w:jc w:val="both"/>
        <w:rPr>
          <w:b/>
          <w:bCs/>
          <w:highlight w:val="white"/>
        </w:rPr>
      </w:pPr>
      <w:r>
        <w:rPr>
          <w:b/>
          <w:bCs/>
          <w:highlight w:val="white"/>
        </w:rPr>
        <w:t xml:space="preserve">Preservación y conservación del material cinematográfico y audiovisual </w:t>
      </w:r>
    </w:p>
    <w:p w14:paraId="7C7B651C" w14:textId="77777777" w:rsidR="00D17B12" w:rsidRDefault="007526ED">
      <w:pPr>
        <w:spacing w:before="240" w:after="240" w:line="240" w:lineRule="auto"/>
        <w:jc w:val="both"/>
      </w:pPr>
      <w:r>
        <w:t>De acuerdo a lo establecido en el numeral 6.1 y en los literales b) y e) del numeral 6.2 del artículo 6, así como en el artículo 23 de la Ley N.° 32309, el Ministerio de Cultura tiene como objetivo promover la preservación y conservación del material cinematográfico y audiovisual (MCA) de interés para el país. En atención a ello, el Ministerio requiere de espacios especializados destinados a dichas labores, entre los cuales destaca la Cinemateca Peruana, archivo destinado a conservar y preservar las obras cinematográficas y audiovisuales nacionales.</w:t>
      </w:r>
    </w:p>
    <w:p w14:paraId="24E2DF7B" w14:textId="77777777" w:rsidR="00D17B12" w:rsidRDefault="007526ED">
      <w:pPr>
        <w:spacing w:before="240" w:after="240" w:line="240" w:lineRule="auto"/>
        <w:jc w:val="both"/>
      </w:pPr>
      <w:r>
        <w:t>En ese sentido, el reglamento incluye un Título específico (IV), que desarrolla las disposiciones específicas que materializan dichos mandatos, a fin de formular el marco normativo para la preservación, conservación, acceso y difusión del material cinematográfico y audiovisual (MCA) de interés para el Perú, reconociendo su valor como fuente de memoria histórica, identidad y diversidad cultural.</w:t>
      </w:r>
    </w:p>
    <w:p w14:paraId="2EA43259" w14:textId="77777777" w:rsidR="00D17B12" w:rsidRDefault="007526ED">
      <w:pPr>
        <w:spacing w:before="240" w:after="240" w:line="240" w:lineRule="auto"/>
        <w:jc w:val="both"/>
      </w:pPr>
      <w:r>
        <w:t xml:space="preserve">En conjunto, este Título contribuye al cumplimiento del deber del Estado de proteger, conservar y difundir el material cinematográfico y audiovisual, asegurando que las expresiones cinematográficas y audiovisuales del Perú sean preservadas para las generaciones presentes y futuras. </w:t>
      </w:r>
    </w:p>
    <w:p w14:paraId="6C2C50CD" w14:textId="77777777" w:rsidR="00D17B12" w:rsidRDefault="007526ED">
      <w:pPr>
        <w:spacing w:before="240" w:line="240" w:lineRule="auto"/>
        <w:jc w:val="both"/>
      </w:pPr>
      <w:r>
        <w:t>En suma, este tipo de fomentos no económicos previstos por la Ley N.° 32309 deben entenderse como instrumentos complementarios y estratégicos dentro del régimen general de fomento, que refuerzan su finalidad última: contribuir al desarrollo sostenible e inclusivo de las diversas expresiones culturales del Perú en materia cinematográfica y audiovisual, mediante una intervención estatal coherente, progresiva y estructurada.</w:t>
      </w:r>
    </w:p>
    <w:p w14:paraId="7B24CBD2" w14:textId="77777777" w:rsidR="00D17B12" w:rsidRDefault="007526ED">
      <w:pPr>
        <w:spacing w:before="240" w:line="240" w:lineRule="auto"/>
        <w:jc w:val="both"/>
        <w:rPr>
          <w:b/>
          <w:bCs/>
        </w:rPr>
      </w:pPr>
      <w:r>
        <w:rPr>
          <w:b/>
          <w:bCs/>
        </w:rPr>
        <w:t xml:space="preserve">6.5. Mecanismos de supervisión en el otorgamiento de estímulos económicos: sobre las obligaciones de los beneficiarios  </w:t>
      </w:r>
    </w:p>
    <w:p w14:paraId="4DAC212A" w14:textId="77777777" w:rsidR="00D17B12" w:rsidRDefault="007526ED">
      <w:pPr>
        <w:spacing w:before="240" w:line="240" w:lineRule="auto"/>
        <w:jc w:val="both"/>
      </w:pPr>
      <w:r>
        <w:t xml:space="preserve">Sobre la supervisión de los incentivos otorgados, la Ley N.° 32309 le atribuye esta facultad al Ministerio de Cultura en el numeral 19.1 del artículo 19: “El Ministerio de Cultura supervisa el cumplimiento de los compromisos adquiridos por los beneficiarios de los estímulos y donaciones económicos otorgados conforme a la presente ley”. Esta atribución resulta natural e idónea para que el Estado verifique que los mecanismos de fomento cumplan con su finalidad pública. </w:t>
      </w:r>
    </w:p>
    <w:p w14:paraId="5F81150F" w14:textId="77777777" w:rsidR="00D17B12" w:rsidRDefault="007526ED">
      <w:pPr>
        <w:spacing w:before="240" w:line="240" w:lineRule="auto"/>
        <w:jc w:val="both"/>
      </w:pPr>
      <w:r>
        <w:t>Asimismo, el numeral 15.2 del artículo 15 establece, para el caso de las donaciones a proyectos cinematográficos y audiovisuales, mencionados en el artículo 19 citado, que este “es entregado como apoyo económico y supervisado por el Ministerio de Cultura conforme al acta de compromiso suscrita con el titular del proyecto cinematográfico o audiovisual que es objeto de donación y que está sujeto a lo previsto en el artículo 19”.</w:t>
      </w:r>
    </w:p>
    <w:p w14:paraId="7611C141" w14:textId="77777777" w:rsidR="00D17B12" w:rsidRDefault="007526ED">
      <w:pPr>
        <w:spacing w:before="240" w:line="240" w:lineRule="auto"/>
        <w:jc w:val="both"/>
      </w:pPr>
      <w:r>
        <w:t xml:space="preserve">En ese sentido, en el caso de los beneficiarios de los estímulos económicos, las obligaciones a las que se compromete el beneficiario se encuentran establecidas en las bases y sus anexos: ficha declarativa de obligaciones y los formularios de postulación.      </w:t>
      </w:r>
    </w:p>
    <w:p w14:paraId="222FCE88" w14:textId="77777777" w:rsidR="00D17B12" w:rsidRDefault="007526ED">
      <w:pPr>
        <w:spacing w:before="240" w:after="240" w:line="240" w:lineRule="auto"/>
        <w:jc w:val="both"/>
      </w:pPr>
      <w:r>
        <w:t>En ese sentido, el reglamento de la Ley N.° 32309 establece, entre otros, la obligatoriedad de suscribir la ficha declarativa de obligaciones respectiva una vez emitido el acto administrativo que otorga el incentivo correspondiente. Con relación a la potestad de fiscalización, el reglamento ha regulado las facultades y deberes del fiscalizador, así como los derechos y obligaciones de los administrados. En este aspecto, se ha mantenido lo esencial de la línea base establecida en la LPAG, considerando el rol garantista de esta norma y su prevalencia respecto de disposiciones especiales</w:t>
      </w:r>
      <w:r>
        <w:rPr>
          <w:vertAlign w:val="superscript"/>
        </w:rPr>
        <w:footnoteReference w:id="53"/>
      </w:r>
      <w:r>
        <w:t>.</w:t>
      </w:r>
    </w:p>
    <w:p w14:paraId="1F12EAE2" w14:textId="77777777" w:rsidR="00D17B12" w:rsidRDefault="007526ED">
      <w:pPr>
        <w:spacing w:before="240" w:after="240" w:line="240" w:lineRule="auto"/>
        <w:jc w:val="both"/>
      </w:pPr>
      <w:r>
        <w:t xml:space="preserve">Se ha precisado que el incumplimiento en la entrega de información dentro del marco de la fiscalización puede acarrear sanciones, en concordancia con el numeral 10 del artículo 230 de la LPAG, que regula el </w:t>
      </w:r>
      <w:r>
        <w:rPr>
          <w:i/>
          <w:iCs/>
        </w:rPr>
        <w:t>principio de culpabilidad</w:t>
      </w:r>
      <w:r>
        <w:t>: “La responsabilidad administrativa es subjetiva, salvo los casos en que por ley o decreto legislativo se disponga la responsabilidad administrativa objetiva”. En consecuencia, solo el incumplimiento injustificado puede dar lugar a sanción, garantizando así el respeto al debido procedimiento administrativo (numeral 2 del artículo 230 de la LPAG: “No se pueden imponer sanciones sin que haya tramitado el procedimiento respectivo, respetando las garantías del   debido procedimiento”).</w:t>
      </w:r>
    </w:p>
    <w:p w14:paraId="33C9B1C6" w14:textId="77777777" w:rsidR="00D17B12" w:rsidRDefault="007526ED">
      <w:pPr>
        <w:spacing w:before="240" w:after="240" w:line="240" w:lineRule="auto"/>
        <w:jc w:val="both"/>
      </w:pPr>
      <w:r>
        <w:t>Asimismo, en línea con la naturaleza de las infracciones bajo el ámbito de aplicación de la ley, se ha incorporado un artículo sobre la coordinación con otras autoridades, en estricta aplicación del artículo 76 de la LPAG: “Las relaciones entre las entidades se rigen por el criterio de colaboración, sin que ello importe renuncia a la competencia propia señalada por ley”. Del mismo modo, considerando que pueden existir infracciones que requieran la atención de más de una autoridad, se ha previsto una disposición que promueva la colaboración, en concordancia con el principio de eficacia administrativa (artículo IV del Título Preliminar).</w:t>
      </w:r>
    </w:p>
    <w:p w14:paraId="5BB5D251" w14:textId="77777777" w:rsidR="00D17B12" w:rsidRDefault="007526ED">
      <w:pPr>
        <w:spacing w:before="240" w:after="240" w:line="240" w:lineRule="auto"/>
        <w:jc w:val="both"/>
      </w:pPr>
      <w:r>
        <w:t>Finalmente, se ha considerado la posibilidad de orientar al administrado mediante medidas correctivas en la etapa de fiscalización, con el objetivo de que busque su adecuación al cumplimiento normativo antes de incurrir en incumplimiento. Ello responde al carácter preventivo de la fiscalización, que permite aplicar medidas correctivas en lugar de sanciones cuando ello resulte más idóneo para garantizar el cumplimiento de la norma.</w:t>
      </w:r>
    </w:p>
    <w:p w14:paraId="69526203" w14:textId="77777777" w:rsidR="00D17B12" w:rsidRDefault="007526ED">
      <w:pPr>
        <w:spacing w:before="240" w:line="240" w:lineRule="auto"/>
        <w:ind w:left="567" w:hanging="567"/>
        <w:jc w:val="both"/>
        <w:rPr>
          <w:b/>
          <w:bCs/>
        </w:rPr>
      </w:pPr>
      <w:r>
        <w:rPr>
          <w:b/>
          <w:bCs/>
        </w:rPr>
        <w:t xml:space="preserve">6.6 </w:t>
      </w:r>
      <w:r>
        <w:rPr>
          <w:b/>
          <w:bCs/>
        </w:rPr>
        <w:tab/>
        <w:t>Sobre el régimen sancionador de la Ley N.° 32309</w:t>
      </w:r>
    </w:p>
    <w:p w14:paraId="1886FF35" w14:textId="77777777" w:rsidR="00D17B12" w:rsidRDefault="007526ED">
      <w:pPr>
        <w:spacing w:before="240" w:after="240" w:line="240" w:lineRule="auto"/>
        <w:jc w:val="both"/>
      </w:pPr>
      <w:r>
        <w:t>La Ley le otorga potestad sancionadora al Ministerio de Cultura en su artículo 25, en concordancia con lo establecido en la LPAG. Ese mismo artículo señala que la potestad sancionadora se ejerce mediante los órganos establecidos en el reglamento de la presente ley. En ese sentido, el reglamento desarrolla este aspecto en concordancia con la LPAG, que constituye la norma supletoria y de aplicación general en materia sancionadora administrativa.</w:t>
      </w:r>
    </w:p>
    <w:p w14:paraId="0DF9603C" w14:textId="77777777" w:rsidR="00D17B12" w:rsidRDefault="007526ED">
      <w:pPr>
        <w:spacing w:before="240" w:after="240" w:line="240" w:lineRule="auto"/>
        <w:jc w:val="both"/>
      </w:pPr>
      <w:r>
        <w:t>Al respecto, es importante mencionar que, en un Estado de Derecho, la potestad administrativa sancionadora no se ejerce de manera arbitraria, sino que se encuentra condicionada al respeto de las disposiciones previstas en la Constitución y los derechos fundamentales de los administrados. Por lo que, la LPAG regula los principios, reglas, garantías aplicables en el procedimiento administrativo sancionador.</w:t>
      </w:r>
    </w:p>
    <w:p w14:paraId="32ED9851" w14:textId="77777777" w:rsidR="00D17B12" w:rsidRDefault="007526ED">
      <w:pPr>
        <w:spacing w:before="240" w:after="240" w:line="240" w:lineRule="auto"/>
        <w:jc w:val="both"/>
      </w:pPr>
      <w:r>
        <w:t>El reglamento establece de manera expresa la distribución de competencias dentro del procedimiento administrativo sancionador (en adelante, el PAS), en concordancia con los principios de legalidad, debido procedimiento y separación de funciones previstos en la LPAG, así como a lo previsto en el artículo 231 de la LPAG, según el cual “el ejercicio de la potestad sancionadora corresponde a las autoridades administrativas a quienes le hayan sido expresamente atribuidas por disposición legal o reglamentaria, sin que pueda asumirla o delegarse en órgano distinto”. En tal sentido, se precisa que la DAFO ejerce la función de autoridad fiscalizadora, encargada de verificar el cumplimiento de las obligaciones establecidas en la Ley N.° 32309 y su reglamento, así como de levantar las actas y constancias que den inicio al procedimiento.</w:t>
      </w:r>
    </w:p>
    <w:p w14:paraId="5FF92FF1" w14:textId="77777777" w:rsidR="00D17B12" w:rsidRDefault="007526ED">
      <w:pPr>
        <w:spacing w:before="240" w:after="240" w:line="240" w:lineRule="auto"/>
        <w:jc w:val="both"/>
      </w:pPr>
      <w:r>
        <w:t>Por su parte, la Dirección de Artes (DIA) de la DGIA asume el rol de autoridad instructora, responsable de conducir la fase de investigación y de garantizar el derecho de defensa del administrado, conforme a lo dispuesto en los artículos 234 y 235 de la LPAG, que regulan la etapa de instrucción del PAS.</w:t>
      </w:r>
    </w:p>
    <w:p w14:paraId="75B12C8E" w14:textId="77777777" w:rsidR="00D17B12" w:rsidRDefault="007526ED">
      <w:pPr>
        <w:spacing w:before="240" w:after="240" w:line="240" w:lineRule="auto"/>
        <w:jc w:val="both"/>
      </w:pPr>
      <w:r>
        <w:t>La DGIA se configura como la autoridad sancionadora, facultada para emitir la resolución final en primera instancia, imponiendo las sanciones o medidas correctivas que correspondan, en aplicación de lo previsto en el numeral 5 del artículo 235 de la LPAG, según el cual “recibido el informe final, el órgano competente para decidir la aplicación de la sanción puede disponer la realización de actuaciones complementarias, siempre que las considere indispensables para resolver el procedimiento”.</w:t>
      </w:r>
    </w:p>
    <w:p w14:paraId="29073507" w14:textId="77777777" w:rsidR="00D17B12" w:rsidRDefault="007526ED">
      <w:pPr>
        <w:spacing w:before="240" w:after="240" w:line="240" w:lineRule="auto"/>
        <w:jc w:val="both"/>
      </w:pPr>
      <w:r>
        <w:t>Finalmente, se dispone que la Viceministerio de Patrimonio Cultural e Industrias Culturales (en adelante, el VMPCIC) actúe como instancia decisoria en última instancia administrativa, asegurando la revisión jerárquica y el principio de impugnación reconocido en el artículo 237 de la LPAG, que garantiza que cuando el infractor sancionado recurra o impugne la resolución adoptada, la resolución de los recursos que interponga no podrá determinar la imposición de sanciones más graves para el sancionado.</w:t>
      </w:r>
    </w:p>
    <w:p w14:paraId="148A27AF" w14:textId="77777777" w:rsidR="00D17B12" w:rsidRDefault="007526ED">
      <w:pPr>
        <w:spacing w:before="240" w:after="240" w:line="240" w:lineRule="auto"/>
        <w:jc w:val="both"/>
        <w:rPr>
          <w:rFonts w:ascii="Roboto" w:eastAsia="Roboto" w:hAnsi="Roboto" w:cs="Roboto"/>
          <w:b/>
          <w:bCs/>
          <w:color w:val="444746"/>
          <w:sz w:val="21"/>
          <w:szCs w:val="21"/>
          <w:highlight w:val="white"/>
        </w:rPr>
      </w:pPr>
      <w:r>
        <w:t>En ese sentido, se advierte que el reglamento desarrolla la potestad sancionadora otorgada por el artículo 25 de la Ley, asegurando la transparencia y el uso adecuado de los recursos públicos destinados a los estímulos económicos, con lo cual se refuerza la seguridad jurídica de los administrados al establecer reglas claras sobre las consecuencias del incumplimiento. Asimismo, el régimen sancionador facilita la coordinación interinstitucional que impone el deber de colaboración entre entidades públicas, garantizando así un sistema coherente y eficaz para la supervisión y cumplimiento de las obligaciones vinculadas al fomento de la actividad cinematográfica y audiovisual.</w:t>
      </w:r>
    </w:p>
    <w:p w14:paraId="13212BC2" w14:textId="77777777" w:rsidR="00D17B12" w:rsidRDefault="007526ED">
      <w:pPr>
        <w:spacing w:before="240" w:line="240" w:lineRule="auto"/>
        <w:ind w:left="567" w:hanging="567"/>
        <w:jc w:val="both"/>
        <w:rPr>
          <w:b/>
          <w:bCs/>
        </w:rPr>
      </w:pPr>
      <w:r>
        <w:rPr>
          <w:b/>
          <w:bCs/>
        </w:rPr>
        <w:t xml:space="preserve">6.7. </w:t>
      </w:r>
      <w:r>
        <w:rPr>
          <w:b/>
          <w:bCs/>
        </w:rPr>
        <w:tab/>
        <w:t>Disposiciones complementarias finales</w:t>
      </w:r>
    </w:p>
    <w:p w14:paraId="7A987A61" w14:textId="77777777" w:rsidR="00D17B12" w:rsidRDefault="007526ED">
      <w:pPr>
        <w:spacing w:before="240" w:line="240" w:lineRule="auto"/>
        <w:jc w:val="both"/>
      </w:pPr>
      <w:r>
        <w:t>Se prevé, en línea con el principio de legalidad, que el otorgamiento de estímulos no puede suponer, directa o indirectamente, la convalidación de conductas contrarias a otras normas vigentes. En ese sentido, se establece expresamente que el otorgamiento de estímulos no exime del cumplimiento de la normativa laboral, migratoria o de derechos de autor. Esta previsión no es meramente declarativa: reconoce que el régimen de fomento actúa dentro de un ecosistema normativo más amplio, en el que deben respetarse los derechos fundamentales de trabajadores, creadores y terceros vinculados a la actividad audiovisual. Asimismo, se indica que el Ministerio de Cultura debe canalizar ante las autoridades competentes los presuntos incumplimientos que se detecten en el marco de los proyectos financiados.</w:t>
      </w:r>
    </w:p>
    <w:p w14:paraId="469BD153" w14:textId="77777777" w:rsidR="00D17B12" w:rsidRDefault="007526ED">
      <w:pPr>
        <w:spacing w:before="240" w:line="240" w:lineRule="auto"/>
        <w:ind w:left="567" w:hanging="567"/>
        <w:jc w:val="both"/>
        <w:rPr>
          <w:b/>
          <w:bCs/>
        </w:rPr>
      </w:pPr>
      <w:r>
        <w:rPr>
          <w:b/>
          <w:bCs/>
        </w:rPr>
        <w:t xml:space="preserve">6.8 </w:t>
      </w:r>
      <w:r>
        <w:rPr>
          <w:b/>
          <w:bCs/>
        </w:rPr>
        <w:tab/>
        <w:t xml:space="preserve">Disposiciones complementarias transitorias </w:t>
      </w:r>
    </w:p>
    <w:p w14:paraId="62BA412E" w14:textId="77777777" w:rsidR="00D17B12" w:rsidRDefault="007526ED">
      <w:pPr>
        <w:spacing w:before="240" w:line="240" w:lineRule="auto"/>
        <w:jc w:val="both"/>
      </w:pPr>
      <w:r>
        <w:t>En primer lugar, se establece que los procedimientos administrativos sancionadores iniciados antes de la entrada en vigencia del reglamento continúan rigiéndose por la normativa vigente al momento de su inicio, conforme a lo establecido en el artículo 103 de la Constitución Política del Perú, según el cual “ninguna ley tiene fuerza ni efecto retroactivos, salvo en materia penal, cuando favorece al reo”.. En esta línea, se habilita expresamente la aplicación retroactiva de las disposiciones más favorables al administrado.</w:t>
      </w:r>
    </w:p>
    <w:p w14:paraId="1E636E5C" w14:textId="77777777" w:rsidR="00D17B12" w:rsidRDefault="007526ED">
      <w:pPr>
        <w:spacing w:before="240" w:line="240" w:lineRule="auto"/>
        <w:jc w:val="both"/>
      </w:pPr>
      <w:r>
        <w:t xml:space="preserve">En segundo lugar, se precisa que los procedimientos de asignación de estímulos económicos que se encuentren en trámite al momento de la entrada en vigencia del reglamento se culminan conforme a la normativa anterior. Esta disposición es fundamental para preservar la coherencia procedimental y evitar distorsiones en convocatorias en curso. </w:t>
      </w:r>
    </w:p>
    <w:p w14:paraId="678D816E" w14:textId="77777777" w:rsidR="00D17B12" w:rsidRDefault="007526ED">
      <w:pPr>
        <w:spacing w:before="240" w:line="240" w:lineRule="auto"/>
        <w:jc w:val="both"/>
      </w:pPr>
      <w:r>
        <w:t xml:space="preserve">Asimismo, se contempla un régimen transitorio específico para los estímulos económicos otorgados bajo el Decreto de Urgencia N.° 019-2022 y otras normas previas, que aún se encuentren en ejecución. En tales casos, se dispone que las obligaciones del beneficiario se mantengan conforme a los actos administrativos y acuerdos vigentes al momento del otorgamiento. Sin embargo, se habilita la aplicación de las nuevas reglas de fiscalización previstas en el presente reglamento, siempre que no se alteren derechos adquiridos ni condiciones esenciales reconocidas al administrado. </w:t>
      </w:r>
    </w:p>
    <w:p w14:paraId="3AAB5A23" w14:textId="77777777" w:rsidR="00D17B12" w:rsidRDefault="007526ED">
      <w:pPr>
        <w:spacing w:before="240" w:line="240" w:lineRule="auto"/>
        <w:jc w:val="both"/>
      </w:pPr>
      <w:r>
        <w:t>Finalmente, se regula el proceso de adecuación de las inscripciones previas en el RENCA, a fin de garantizar que el registro refleje de manera actualizada las condiciones y criterios establecidos por la Ley N.° 32309 y su reglamento. Para ello, se concede un plazo razonable de 120 días calendario a la DAFO para solicitar la información complementaria necesaria.  Asimismo, se reconoce y mantiene la condición de “obra peruana” a todas aquellas obras cinematográficas y audiovisuales que hubieran sido declaradas como tales bajo marcos normativos anteriores, en respeto de los derechos adquiridos y de la continuidad jurídica del registro.</w:t>
      </w:r>
    </w:p>
    <w:p w14:paraId="5AADD03F" w14:textId="77777777" w:rsidR="00D17B12" w:rsidRDefault="007526ED">
      <w:pPr>
        <w:spacing w:before="240" w:line="240" w:lineRule="auto"/>
        <w:ind w:left="567" w:hanging="567"/>
        <w:jc w:val="both"/>
      </w:pPr>
      <w:r>
        <w:rPr>
          <w:b/>
          <w:bCs/>
        </w:rPr>
        <w:t xml:space="preserve">6.9 </w:t>
      </w:r>
      <w:r>
        <w:rPr>
          <w:b/>
          <w:bCs/>
        </w:rPr>
        <w:tab/>
        <w:t>Disposición complementaria derogatoria</w:t>
      </w:r>
    </w:p>
    <w:p w14:paraId="591AF16E" w14:textId="77777777" w:rsidR="00D17B12" w:rsidRDefault="007526ED">
      <w:pPr>
        <w:spacing w:before="240" w:line="240" w:lineRule="auto"/>
        <w:jc w:val="both"/>
      </w:pPr>
      <w:r>
        <w:t xml:space="preserve">El numeral 15.3 del artículo 15 del reglamento de la Ley N.° 31893, Ley de medidas estratégicas y disposiciones económicas y tributarias para el fortalecimiento y posicionamiento del ecosistema del libro y de la lectura, aprobado mediante Decreto Supremo N.° 003-2024-MC (publicado en el </w:t>
      </w:r>
      <w:r>
        <w:rPr>
          <w:i/>
          <w:iCs/>
        </w:rPr>
        <w:t>diario oficial El Peruano</w:t>
      </w:r>
      <w:r>
        <w:t xml:space="preserve"> el 23 de abril de 2024), establece lo siguiente:</w:t>
      </w:r>
    </w:p>
    <w:p w14:paraId="79ACDC0E" w14:textId="77777777" w:rsidR="00D17B12" w:rsidRDefault="007526ED">
      <w:pPr>
        <w:spacing w:before="240" w:line="240" w:lineRule="auto"/>
        <w:ind w:left="720"/>
        <w:jc w:val="both"/>
        <w:rPr>
          <w:b/>
          <w:bCs/>
          <w:sz w:val="20"/>
          <w:szCs w:val="20"/>
        </w:rPr>
      </w:pPr>
      <w:r>
        <w:rPr>
          <w:sz w:val="20"/>
          <w:szCs w:val="20"/>
        </w:rPr>
        <w:t>“</w:t>
      </w:r>
      <w:r>
        <w:rPr>
          <w:b/>
          <w:bCs/>
          <w:sz w:val="20"/>
          <w:szCs w:val="20"/>
        </w:rPr>
        <w:t>Artículo 15.- Los estímulos económicos para el libro y el fomento de la lectura</w:t>
      </w:r>
    </w:p>
    <w:p w14:paraId="7782EFC8" w14:textId="77777777" w:rsidR="00D17B12" w:rsidRDefault="007526ED">
      <w:pPr>
        <w:spacing w:before="240" w:line="240" w:lineRule="auto"/>
        <w:ind w:left="720"/>
        <w:jc w:val="both"/>
        <w:rPr>
          <w:sz w:val="20"/>
          <w:szCs w:val="20"/>
        </w:rPr>
      </w:pPr>
      <w:r>
        <w:rPr>
          <w:sz w:val="20"/>
          <w:szCs w:val="20"/>
        </w:rPr>
        <w:t>(…)</w:t>
      </w:r>
    </w:p>
    <w:p w14:paraId="7535BEAB" w14:textId="77777777" w:rsidR="00D17B12" w:rsidRDefault="007526ED">
      <w:pPr>
        <w:spacing w:before="240" w:line="240" w:lineRule="auto"/>
        <w:ind w:left="720"/>
        <w:jc w:val="both"/>
        <w:rPr>
          <w:sz w:val="20"/>
          <w:szCs w:val="20"/>
        </w:rPr>
      </w:pPr>
      <w:r>
        <w:rPr>
          <w:sz w:val="20"/>
          <w:szCs w:val="20"/>
        </w:rPr>
        <w:t>15.3. El proceso, los criterios objetivos y el régimen aplicable del otorgamiento de los estímulos económicos para el libro y el fomento de la lectura se rigen en el marco de lo dispuesto del Decreto Supremo N.° 015-2020-MC, Decreto Supremo que aprueba el Reglamento de la Segunda Disposición Complementaria Final del Decreto de Urgencia N.° 022-2019, Decreto de Urgencia que promueve la actividad cinematográfica y audiovisual”.</w:t>
      </w:r>
    </w:p>
    <w:p w14:paraId="29E09F6F" w14:textId="77777777" w:rsidR="00D17B12" w:rsidRDefault="007526ED">
      <w:pPr>
        <w:spacing w:before="240" w:after="240" w:line="240" w:lineRule="auto"/>
        <w:jc w:val="both"/>
      </w:pPr>
      <w:r>
        <w:t xml:space="preserve">Posteriormente, con fecha 25 de abril de 2025, se publicó en el </w:t>
      </w:r>
      <w:r>
        <w:rPr>
          <w:i/>
          <w:iCs/>
        </w:rPr>
        <w:t>diario oficial El Peruano</w:t>
      </w:r>
      <w:r>
        <w:t xml:space="preserve"> la Ley N.° 32309, mediante la cual se establecen mecanismos de incentivo económico y fiscal orientados a fomentar las actividades cinematográficas y audiovisuales en el Perú. </w:t>
      </w:r>
    </w:p>
    <w:p w14:paraId="29511BCC" w14:textId="77777777" w:rsidR="00D17B12" w:rsidRDefault="007526ED">
      <w:pPr>
        <w:spacing w:before="240" w:after="240" w:line="240" w:lineRule="auto"/>
        <w:jc w:val="both"/>
      </w:pPr>
      <w:r>
        <w:t xml:space="preserve">Su Segunda Disposición Complementaria Final regula lo referente a los </w:t>
      </w:r>
      <w:r>
        <w:rPr>
          <w:b/>
          <w:bCs/>
        </w:rPr>
        <w:t>estímulos económicos para las artes e industrias culturales</w:t>
      </w:r>
      <w:r>
        <w:t>, manteniendo las condiciones previstas en el DU N.° 022-2019, y dispone que los criterios objetivos y el régimen aplicable a dichos estímulos serán determinados en su propio reglamento.</w:t>
      </w:r>
    </w:p>
    <w:p w14:paraId="27A43CF9" w14:textId="77777777" w:rsidR="00D17B12" w:rsidRDefault="007526ED">
      <w:pPr>
        <w:spacing w:before="240" w:after="240" w:line="240" w:lineRule="auto"/>
        <w:jc w:val="both"/>
      </w:pPr>
      <w:r>
        <w:t>En consecuencia, la Ley N.° 32309 contará con dos reglamentaciones diferenciadas dentro del Ministerio de Cultura: un reglamento general que desarrolla la Ley en lo que respecta a las actividades cinematográficas y audiovisuales en el Perú, y un reglamento específico que desarrolla su Segunda Disposición Complementaria Final.</w:t>
      </w:r>
    </w:p>
    <w:p w14:paraId="62C3EA75" w14:textId="77777777" w:rsidR="00D17B12" w:rsidRDefault="007526ED">
      <w:pPr>
        <w:spacing w:before="240" w:after="240" w:line="240" w:lineRule="auto"/>
        <w:jc w:val="both"/>
      </w:pPr>
      <w:r>
        <w:t>Cabe precisar que, de conformidad con su Décima Disposición Complementaria Final, la Ley N.° 32309 entrará en vigencia al día siguiente de la publicación de su reglamento. En ese momento, el DU N.° 022-2019, incluida su Segunda Disposición Complementaria Final, así como el Decreto Supremo N.° 015-2020-MC que la reglamenta, quedarán derogados.</w:t>
      </w:r>
    </w:p>
    <w:p w14:paraId="110667B8" w14:textId="77777777" w:rsidR="00D17B12" w:rsidRDefault="007526ED">
      <w:pPr>
        <w:spacing w:before="240" w:after="240" w:line="240" w:lineRule="auto"/>
        <w:jc w:val="both"/>
      </w:pPr>
      <w:r>
        <w:t>Por lo expuesto, resulta jurídicamente necesario consignar en el reglamento de la Ley N.° 32309 la derogación expresa del numeral 15.3 del artículo 15 del Reglamento de la Ley N.° 31893, en tanto este hace referencia directa al Decreto Supremo N.° 015-2020-MC, el cual perderá vigencia con la entrada en vigor del nuevo marco normativo.</w:t>
      </w:r>
    </w:p>
    <w:p w14:paraId="3DC5AFD2" w14:textId="77777777" w:rsidR="00D17B12" w:rsidRDefault="007526ED">
      <w:pPr>
        <w:spacing w:before="240" w:after="240" w:line="240" w:lineRule="auto"/>
        <w:jc w:val="both"/>
      </w:pPr>
      <w:r>
        <w:t>Cabe señalar que esta disposición complementaria derogatoria fue elaborada con base a la solicitud expresa de la Dirección del Libro y la Lectura, conforme a lo indicado en el Informe N.° 538-2025-DLL-DGIA-VMPCIC/MC, de fecha 24 de julio de 2025.</w:t>
      </w:r>
    </w:p>
    <w:p w14:paraId="63F6EB0C" w14:textId="77777777" w:rsidR="00D17B12" w:rsidRDefault="007526ED">
      <w:pPr>
        <w:numPr>
          <w:ilvl w:val="0"/>
          <w:numId w:val="16"/>
        </w:numPr>
        <w:pBdr>
          <w:top w:val="nil"/>
          <w:left w:val="nil"/>
          <w:bottom w:val="nil"/>
          <w:right w:val="nil"/>
          <w:between w:val="nil"/>
        </w:pBdr>
        <w:spacing w:before="240" w:line="240" w:lineRule="auto"/>
        <w:ind w:left="567" w:hanging="567"/>
        <w:jc w:val="both"/>
        <w:rPr>
          <w:b/>
          <w:bCs/>
          <w:color w:val="000000"/>
        </w:rPr>
      </w:pPr>
      <w:r>
        <w:rPr>
          <w:b/>
          <w:bCs/>
          <w:color w:val="000000"/>
        </w:rPr>
        <w:t xml:space="preserve">SOBRE EL ANÁLISIS DE IMPACTO REGULATORIO EX ANTE </w:t>
      </w:r>
    </w:p>
    <w:p w14:paraId="12A40A72" w14:textId="77777777" w:rsidR="00D17B12" w:rsidRDefault="00D17B12">
      <w:pPr>
        <w:widowControl w:val="0"/>
        <w:spacing w:line="240" w:lineRule="auto"/>
        <w:ind w:right="110"/>
        <w:jc w:val="both"/>
      </w:pPr>
    </w:p>
    <w:p w14:paraId="3A317E26" w14:textId="77777777" w:rsidR="00D17B12" w:rsidRDefault="007526ED">
      <w:pPr>
        <w:widowControl w:val="0"/>
        <w:spacing w:line="240" w:lineRule="auto"/>
        <w:ind w:right="110"/>
        <w:jc w:val="both"/>
      </w:pPr>
      <w:r>
        <w:t xml:space="preserve">El Decreto Legislativo N.° 1565, Decreto Legislativo que aprueba la Ley General de mejora de la Calidad Regulatoria, tiene como objeto fortalecer y armonizar el proceso de mejora de la calidad regulatoria, así como el marco institucional e instrumentos que lo rigen como parte de un proceso ordenado, integral, coordinado, gradual y continuo para garantizar el cumplimiento efectivo de políticas públicas. </w:t>
      </w:r>
    </w:p>
    <w:p w14:paraId="17C13D44" w14:textId="77777777" w:rsidR="00D17B12" w:rsidRDefault="00D17B12">
      <w:pPr>
        <w:widowControl w:val="0"/>
        <w:spacing w:line="240" w:lineRule="auto"/>
        <w:ind w:right="110"/>
        <w:jc w:val="both"/>
      </w:pPr>
    </w:p>
    <w:p w14:paraId="6B581BCA" w14:textId="77777777" w:rsidR="00D17B12" w:rsidRDefault="007526ED">
      <w:pPr>
        <w:widowControl w:val="0"/>
        <w:spacing w:line="240" w:lineRule="auto"/>
        <w:ind w:right="110"/>
        <w:jc w:val="both"/>
      </w:pPr>
      <w:r>
        <w:t xml:space="preserve">De acuerdo con el sub numeral 2 del numeral 5.2 del artículo 5 del referido decreto legislativo el análisis de impacto regulatorio ex ante (AIR ex ante) es un instrumento de mejora de la calidad regulatoria que tiene por objeto el análisis previo, sistemático e integral para identificar, evaluar y medir los probables resultados, beneficios y costos de distintas alternativas de solución regulatorias y no regulatorias de un problema público, considerando la identificación y el análisis de riesgos, con el fin de adoptar la mejor alternativa de intervención en base a evidencia. Si la alternativa resultante de la evaluación correspondiente es una regulación, su desarrollo debe ser coherente y consistente con el ordenamiento jurídico vigente, así como establecer los mecanismos para su cumplimiento y monitoreo permanente además del desempeño de la regulación. </w:t>
      </w:r>
    </w:p>
    <w:p w14:paraId="2E2EF62A" w14:textId="77777777" w:rsidR="00D17B12" w:rsidRDefault="00D17B12">
      <w:pPr>
        <w:widowControl w:val="0"/>
        <w:spacing w:line="240" w:lineRule="auto"/>
        <w:ind w:right="110"/>
        <w:jc w:val="both"/>
      </w:pPr>
    </w:p>
    <w:p w14:paraId="5AA684BE" w14:textId="77777777" w:rsidR="00D17B12" w:rsidRDefault="007526ED">
      <w:pPr>
        <w:widowControl w:val="0"/>
        <w:spacing w:line="240" w:lineRule="auto"/>
        <w:ind w:right="110"/>
        <w:jc w:val="both"/>
      </w:pPr>
      <w:r>
        <w:t xml:space="preserve">Asimismo, de acuerdo al numeral 33.2 del artículo 33 del Reglamento del Decreto Legislativo N.° 1565, Decreto Legislativo que aprueba la Ley General de Mejora de la Calidad Regulatoria, aprobado por Decreto Supremo N.° 023-2025-PCM, las entidades públicas del Poder Ejecutivo tienen la obligación de realizar el Análisis de Impacto Regulatorio Ex Ante previo a la elaboración de disposiciones normativas de carácter general, cuando establezcan, incorporen o modifiquen reglas, prohibiciones, limitaciones, obligaciones, condiciones, requisitos, responsabilidades o cualquier exigencia que genere o implique variación de costos en su cumplimiento por parte de las empresas, ciudadanos o sociedad civil que limite el otorgamiento o reconocimiento de derechos para el óptimo desarrollo de actividades económicas y sociales que contribuyan al desarrollo integral, sostenible, y al bienestar social. </w:t>
      </w:r>
    </w:p>
    <w:p w14:paraId="413F64E9" w14:textId="77777777" w:rsidR="00D17B12" w:rsidRDefault="00D17B12">
      <w:pPr>
        <w:widowControl w:val="0"/>
        <w:spacing w:line="240" w:lineRule="auto"/>
        <w:ind w:right="110"/>
        <w:jc w:val="both"/>
      </w:pPr>
    </w:p>
    <w:p w14:paraId="380F0A19" w14:textId="77777777" w:rsidR="00D17B12" w:rsidRDefault="007526ED">
      <w:pPr>
        <w:widowControl w:val="0"/>
        <w:spacing w:line="240" w:lineRule="auto"/>
        <w:ind w:right="110"/>
        <w:jc w:val="both"/>
      </w:pPr>
      <w:r>
        <w:t xml:space="preserve">De esta forma, conviene indicar que la presente norma contiene distintas temáticas, a saber: </w:t>
      </w:r>
    </w:p>
    <w:p w14:paraId="3403378D" w14:textId="77777777" w:rsidR="00D17B12" w:rsidRDefault="00D17B12">
      <w:pPr>
        <w:widowControl w:val="0"/>
        <w:spacing w:line="240" w:lineRule="auto"/>
        <w:ind w:right="110"/>
        <w:jc w:val="both"/>
      </w:pPr>
    </w:p>
    <w:p w14:paraId="7A76E739" w14:textId="77777777" w:rsidR="00D17B12" w:rsidRDefault="007526ED">
      <w:pPr>
        <w:widowControl w:val="0"/>
        <w:numPr>
          <w:ilvl w:val="0"/>
          <w:numId w:val="15"/>
        </w:numPr>
        <w:spacing w:line="240" w:lineRule="auto"/>
        <w:ind w:right="110"/>
        <w:jc w:val="both"/>
      </w:pPr>
      <w:r>
        <w:t>El RENCA, inscripción y reconocimiento de personas, obras, proyectos, salas, contratos.</w:t>
      </w:r>
    </w:p>
    <w:p w14:paraId="3E916F17" w14:textId="77777777" w:rsidR="00D17B12" w:rsidRDefault="007526ED">
      <w:pPr>
        <w:widowControl w:val="0"/>
        <w:numPr>
          <w:ilvl w:val="0"/>
          <w:numId w:val="15"/>
        </w:numPr>
        <w:spacing w:line="240" w:lineRule="auto"/>
        <w:ind w:right="110"/>
        <w:jc w:val="both"/>
      </w:pPr>
      <w:r>
        <w:t xml:space="preserve">Las disposiciones generales con relación a los estímulos económicos (concursables y no concursables) </w:t>
      </w:r>
    </w:p>
    <w:p w14:paraId="6C5FA915" w14:textId="77777777" w:rsidR="00D17B12" w:rsidRDefault="007526ED">
      <w:pPr>
        <w:widowControl w:val="0"/>
        <w:numPr>
          <w:ilvl w:val="0"/>
          <w:numId w:val="15"/>
        </w:numPr>
        <w:spacing w:line="240" w:lineRule="auto"/>
        <w:ind w:right="110"/>
        <w:jc w:val="both"/>
      </w:pPr>
      <w:r>
        <w:t>Las disposiciones sobre formación, difusión, exhibición y promoción de obras cinematográficas y audiovisuales</w:t>
      </w:r>
    </w:p>
    <w:p w14:paraId="2CE681C4" w14:textId="77777777" w:rsidR="00D17B12" w:rsidRDefault="007526ED">
      <w:pPr>
        <w:widowControl w:val="0"/>
        <w:numPr>
          <w:ilvl w:val="0"/>
          <w:numId w:val="15"/>
        </w:numPr>
        <w:spacing w:line="240" w:lineRule="auto"/>
        <w:ind w:right="110"/>
        <w:jc w:val="both"/>
      </w:pPr>
      <w:r>
        <w:t>Las disposiciones con relación a la preservación del material cinematográfico y audiovisual</w:t>
      </w:r>
    </w:p>
    <w:p w14:paraId="220D0EDA" w14:textId="77777777" w:rsidR="00D17B12" w:rsidRDefault="007526ED">
      <w:pPr>
        <w:widowControl w:val="0"/>
        <w:numPr>
          <w:ilvl w:val="0"/>
          <w:numId w:val="15"/>
        </w:numPr>
        <w:spacing w:line="240" w:lineRule="auto"/>
        <w:ind w:right="110"/>
        <w:jc w:val="both"/>
      </w:pPr>
      <w:r>
        <w:t>El régimen de fiscalización de los beneficiarios de los estímulos económicos</w:t>
      </w:r>
    </w:p>
    <w:p w14:paraId="69FF8215" w14:textId="77777777" w:rsidR="00D17B12" w:rsidRDefault="007526ED">
      <w:pPr>
        <w:widowControl w:val="0"/>
        <w:numPr>
          <w:ilvl w:val="0"/>
          <w:numId w:val="15"/>
        </w:numPr>
        <w:spacing w:line="240" w:lineRule="auto"/>
        <w:ind w:right="110"/>
        <w:jc w:val="both"/>
      </w:pPr>
      <w:r>
        <w:t xml:space="preserve">El régimen sancionador </w:t>
      </w:r>
    </w:p>
    <w:p w14:paraId="0A2E4503" w14:textId="77777777" w:rsidR="00D17B12" w:rsidRDefault="00D17B12">
      <w:pPr>
        <w:widowControl w:val="0"/>
        <w:spacing w:line="240" w:lineRule="auto"/>
        <w:ind w:right="110"/>
        <w:jc w:val="both"/>
      </w:pPr>
    </w:p>
    <w:p w14:paraId="2C1A2E5A" w14:textId="77777777" w:rsidR="00D17B12" w:rsidRDefault="007526ED">
      <w:pPr>
        <w:widowControl w:val="0"/>
        <w:spacing w:line="240" w:lineRule="auto"/>
        <w:ind w:right="110"/>
        <w:jc w:val="both"/>
      </w:pPr>
      <w:r>
        <w:t xml:space="preserve">Por ello, corresponde analizar, de acuerdo con esta estructura, la obligatoriedad o no del AIR ex ante para cada aspecto de la norma: </w:t>
      </w:r>
    </w:p>
    <w:p w14:paraId="0370F742" w14:textId="77777777" w:rsidR="00D17B12" w:rsidRDefault="00D17B12">
      <w:pPr>
        <w:widowControl w:val="0"/>
        <w:spacing w:line="240" w:lineRule="auto"/>
        <w:ind w:right="110"/>
        <w:jc w:val="both"/>
      </w:pPr>
    </w:p>
    <w:p w14:paraId="1FCA5A2C" w14:textId="77777777" w:rsidR="00D17B12" w:rsidRDefault="007526ED">
      <w:pPr>
        <w:widowControl w:val="0"/>
        <w:numPr>
          <w:ilvl w:val="0"/>
          <w:numId w:val="7"/>
        </w:numPr>
        <w:spacing w:line="240" w:lineRule="auto"/>
        <w:ind w:right="110"/>
        <w:jc w:val="both"/>
        <w:rPr>
          <w:b/>
          <w:bCs/>
        </w:rPr>
      </w:pPr>
      <w:r>
        <w:rPr>
          <w:b/>
          <w:bCs/>
        </w:rPr>
        <w:t>Sobre los supuestos i, iii, iv, v y vi</w:t>
      </w:r>
    </w:p>
    <w:p w14:paraId="30F2107E" w14:textId="77777777" w:rsidR="00D17B12" w:rsidRDefault="00D17B12">
      <w:pPr>
        <w:widowControl w:val="0"/>
        <w:spacing w:line="240" w:lineRule="auto"/>
        <w:ind w:left="100" w:right="110"/>
        <w:jc w:val="both"/>
        <w:rPr>
          <w:b/>
          <w:bCs/>
        </w:rPr>
      </w:pPr>
    </w:p>
    <w:p w14:paraId="516F88B1" w14:textId="77777777" w:rsidR="00D17B12" w:rsidRDefault="007526ED">
      <w:pPr>
        <w:widowControl w:val="0"/>
        <w:spacing w:line="240" w:lineRule="auto"/>
        <w:ind w:left="100" w:right="110"/>
        <w:jc w:val="both"/>
      </w:pPr>
      <w:r>
        <w:t xml:space="preserve">El numeral 41.2 del artículo 41 del Reglamento del Decreto Legislativo N.° 1565, Decreto Legislativo que aprueba la Ley General de Mejora de la Calidad Regulatoria, aprobado por Decreto Supremo N.° 023-2025-PCM indica que las materias que pueden entenderse no incluidas en los alcances del AIR ex ante deben solicitar ante la CMCR un pronunciamiento expreso. Así, se tiene que: </w:t>
      </w:r>
    </w:p>
    <w:p w14:paraId="3EDBBCC0" w14:textId="77777777" w:rsidR="00D17B12" w:rsidRDefault="00D17B12">
      <w:pPr>
        <w:widowControl w:val="0"/>
        <w:spacing w:line="240" w:lineRule="auto"/>
        <w:ind w:left="100" w:right="110"/>
        <w:jc w:val="both"/>
      </w:pPr>
    </w:p>
    <w:p w14:paraId="0EE4F269" w14:textId="77777777" w:rsidR="00D17B12" w:rsidRDefault="007526ED">
      <w:pPr>
        <w:widowControl w:val="0"/>
        <w:numPr>
          <w:ilvl w:val="1"/>
          <w:numId w:val="7"/>
        </w:numPr>
        <w:spacing w:line="240" w:lineRule="auto"/>
        <w:ind w:left="1134" w:right="110" w:hanging="283"/>
        <w:jc w:val="both"/>
      </w:pPr>
      <w:r>
        <w:t>La Primera Disposición Complementaria Final de la Ley N.° 32309 indica expresamente que el proceso de inscripción en el RENCA no constituye un procedimiento administrativo.</w:t>
      </w:r>
    </w:p>
    <w:p w14:paraId="003465C3" w14:textId="77777777" w:rsidR="00D17B12" w:rsidRDefault="007526ED">
      <w:pPr>
        <w:widowControl w:val="0"/>
        <w:numPr>
          <w:ilvl w:val="1"/>
          <w:numId w:val="7"/>
        </w:numPr>
        <w:spacing w:line="240" w:lineRule="auto"/>
        <w:ind w:left="1134" w:right="110" w:hanging="283"/>
        <w:jc w:val="both"/>
      </w:pPr>
      <w:r>
        <w:t>Las disposiciones sobre formación, difusión, exhibición y promoción de obras cinematográficas y audiovisuales comprenden mandatos para el mejor ejercicio de las funciones del Ministerio de Cultura sobre esta materia. En el mismo sentido se desarrollaron las funciones con relación a la preservación del material cinematográfico y audiovisual en el Perú.</w:t>
      </w:r>
    </w:p>
    <w:p w14:paraId="7530A57B" w14:textId="77777777" w:rsidR="00D17B12" w:rsidRDefault="007526ED">
      <w:pPr>
        <w:widowControl w:val="0"/>
        <w:numPr>
          <w:ilvl w:val="1"/>
          <w:numId w:val="7"/>
        </w:numPr>
        <w:spacing w:line="240" w:lineRule="auto"/>
        <w:ind w:left="1134" w:right="110" w:hanging="283"/>
        <w:jc w:val="both"/>
      </w:pPr>
      <w:r>
        <w:t>El régimen de fiscalización y sanción constituyen potestades que se ejercen de oficio, destinados a verificar obligaciones que surgen de los beneficios otorgados por la Ley N.° 32309. Incluso, los tipos infractores ya están previstos en la citada norma.</w:t>
      </w:r>
    </w:p>
    <w:p w14:paraId="66495000" w14:textId="77777777" w:rsidR="00D17B12" w:rsidRDefault="00D17B12">
      <w:pPr>
        <w:widowControl w:val="0"/>
        <w:spacing w:line="240" w:lineRule="auto"/>
        <w:ind w:right="110"/>
        <w:jc w:val="both"/>
      </w:pPr>
    </w:p>
    <w:p w14:paraId="258F0304" w14:textId="77777777" w:rsidR="00D17B12" w:rsidRDefault="007526ED">
      <w:pPr>
        <w:widowControl w:val="0"/>
        <w:spacing w:line="240" w:lineRule="auto"/>
        <w:ind w:left="100" w:right="110"/>
        <w:jc w:val="both"/>
      </w:pPr>
      <w:r>
        <w:t>Por ello, con fecha</w:t>
      </w:r>
      <w:r>
        <w:rPr>
          <w:highlight w:val="yellow"/>
        </w:rPr>
        <w:t xml:space="preserve"> [xxxxx]</w:t>
      </w:r>
      <w:r>
        <w:t>, el Oficial de Mejora de Calidad Regulatoria del Ministerio de Cultura presentó la solicitud ante la Secretaría Técnica de la CMCR para la excepción del AIR ex ante de la presente norma, sustentándola en las consideraciones antes expresadas y en el hecho de que, en efecto, las disposiciones no se encuentran en el supuesto descrito por el numeral 33.2 del artículo 33, es decir, no establecen obligaciones, condiciones, requisitos, responsabilidades, prohibiciones, limitaciones o cualquier otra regla que genere o modifique costos o limite el ejercicio de derechos. A partir de ello, se tiene que, a través de correo electrónico de fecha [</w:t>
      </w:r>
      <w:r>
        <w:rPr>
          <w:highlight w:val="yellow"/>
        </w:rPr>
        <w:t>xxx]</w:t>
      </w:r>
      <w:r>
        <w:t xml:space="preserve">, la Secretaría Técnica de la CMCR comunicó que la propuesta normativa se encuentra, en efecto, exceptuada del AIR ex ante. </w:t>
      </w:r>
    </w:p>
    <w:p w14:paraId="7A738352" w14:textId="77777777" w:rsidR="00D17B12" w:rsidRDefault="00D17B12">
      <w:pPr>
        <w:widowControl w:val="0"/>
        <w:spacing w:line="240" w:lineRule="auto"/>
        <w:ind w:right="110"/>
        <w:jc w:val="both"/>
      </w:pPr>
    </w:p>
    <w:p w14:paraId="3C81DCF2" w14:textId="77777777" w:rsidR="00D17B12" w:rsidRDefault="007526ED">
      <w:pPr>
        <w:widowControl w:val="0"/>
        <w:numPr>
          <w:ilvl w:val="0"/>
          <w:numId w:val="7"/>
        </w:numPr>
        <w:spacing w:line="240" w:lineRule="auto"/>
        <w:ind w:right="110"/>
        <w:jc w:val="both"/>
        <w:rPr>
          <w:b/>
          <w:bCs/>
        </w:rPr>
      </w:pPr>
      <w:r>
        <w:rPr>
          <w:b/>
          <w:bCs/>
        </w:rPr>
        <w:t>El supuesto ii</w:t>
      </w:r>
    </w:p>
    <w:p w14:paraId="5D060901" w14:textId="77777777" w:rsidR="00D17B12" w:rsidRDefault="007526ED">
      <w:pPr>
        <w:widowControl w:val="0"/>
        <w:spacing w:before="157" w:line="240" w:lineRule="auto"/>
        <w:ind w:left="100" w:right="110"/>
        <w:jc w:val="both"/>
      </w:pPr>
      <w:r>
        <w:t>El literal a) del numeral 41.1 del artículo 41 del Reglamento del Decreto Legislativo N.° 1565, Decreto Legislativo que aprueba la Ley General de Mejora de la Calidad Regulatoria, aprobado por Decreto Supremo N.° 023-2025-PCM establece que las disposiciones normativas de otorgamiento de subvenciones se encuentran exceptuadas de presentar expediente AIR Ex Ante a la CMCR. En tal sentido, considerando que las disposiciones en cuestión se destinan al otorgamiento de los estímulos económicos (subvenciones no reembolsables) esta no se encuentra comprendida en el Análisis de Impacto Regulatorio ex ante.</w:t>
      </w:r>
    </w:p>
    <w:p w14:paraId="4B944414" w14:textId="77777777" w:rsidR="00D17B12" w:rsidRDefault="007526ED">
      <w:pPr>
        <w:spacing w:before="240" w:line="240" w:lineRule="auto"/>
        <w:ind w:left="567" w:hanging="567"/>
        <w:jc w:val="both"/>
        <w:rPr>
          <w:b/>
          <w:bCs/>
        </w:rPr>
      </w:pPr>
      <w:r>
        <w:rPr>
          <w:b/>
          <w:bCs/>
        </w:rPr>
        <w:t>8.</w:t>
      </w:r>
      <w:r>
        <w:rPr>
          <w:b/>
          <w:bCs/>
        </w:rPr>
        <w:tab/>
        <w:t>ANÁLISIS DE IMPACTOS CUANTITATIVOS Y/O CUALITATIVOS DEL PROYECTO NORMATIVO</w:t>
      </w:r>
    </w:p>
    <w:p w14:paraId="12048F81" w14:textId="77777777" w:rsidR="00D17B12" w:rsidRDefault="007526ED">
      <w:pPr>
        <w:spacing w:before="240" w:line="240" w:lineRule="auto"/>
        <w:jc w:val="both"/>
      </w:pPr>
      <w:r>
        <w:t xml:space="preserve">Aprobado el reglamento de la Ley N.° 32309, el fomento a las actividades cinematográficas y audiovisuales articulan, en un único cuerpo normativo, el registro, el plan, el otorgamiento de estímulos, la supervisión y la fiscalización de los mismos. En lo que sigue se desarrollan los principales impactos cuantitativos así como los beneficios cualitativos que traerá consigo la aprobación del reglamento: </w:t>
      </w:r>
    </w:p>
    <w:p w14:paraId="54021257" w14:textId="77777777" w:rsidR="00D17B12" w:rsidRDefault="007526ED">
      <w:pPr>
        <w:numPr>
          <w:ilvl w:val="0"/>
          <w:numId w:val="11"/>
        </w:numPr>
        <w:spacing w:before="240" w:line="240" w:lineRule="auto"/>
        <w:ind w:left="567" w:hanging="567"/>
        <w:jc w:val="both"/>
        <w:rPr>
          <w:b/>
          <w:bCs/>
        </w:rPr>
      </w:pPr>
      <w:r>
        <w:rPr>
          <w:b/>
          <w:bCs/>
        </w:rPr>
        <w:t>Impactos cuantitativos:</w:t>
      </w:r>
    </w:p>
    <w:p w14:paraId="6E868292" w14:textId="77777777" w:rsidR="00D17B12" w:rsidRDefault="007526ED">
      <w:pPr>
        <w:spacing w:before="240" w:after="240" w:line="240" w:lineRule="auto"/>
        <w:jc w:val="both"/>
      </w:pPr>
      <w:r>
        <w:t>El presente reglamento no genera gastos adicionales al Estado ni compromete recursos del Tesoro Público, dado que las acciones previstas se financiarán con cargo al presupuesto institucional de las entidades involucradas con la actividad cinematográfica y audiovisual, conforme a lo dispuesto en la Quinta Disposición Complementaria Final de la Ley N.° 32309.</w:t>
      </w:r>
    </w:p>
    <w:p w14:paraId="394C1B9E" w14:textId="77777777" w:rsidR="00D17B12" w:rsidRDefault="007526ED">
      <w:pPr>
        <w:spacing w:before="240" w:after="240" w:line="240" w:lineRule="auto"/>
        <w:jc w:val="both"/>
      </w:pPr>
      <w:r>
        <w:t>Asimismo, la propuesta impacta de manera positiva en los distintos componentes del ecosistema cinematográfico y audiovisual, fortaleciendo las capacidades productivas en las diversas regiones del país, lo que a su vez promueve la generación de empleo especializado y contribuye al crecimiento económico del sector.</w:t>
      </w:r>
    </w:p>
    <w:p w14:paraId="37CC4A8D" w14:textId="77777777" w:rsidR="00D17B12" w:rsidRDefault="007526ED">
      <w:pPr>
        <w:spacing w:before="240" w:after="240" w:line="240" w:lineRule="auto"/>
        <w:jc w:val="both"/>
      </w:pPr>
      <w:r>
        <w:t>De esta forma, la promulgación del reglamento incentiva la creación y producción cinematográfica y audiovisual nacional, ampliando la oferta de contenidos, fomentando la participación de las producciones peruanas en los mercados nacional e internacional y aportando de manera significativa al desarrollo cultural y económico del país.</w:t>
      </w:r>
    </w:p>
    <w:p w14:paraId="3354C802" w14:textId="77777777" w:rsidR="00D17B12" w:rsidRDefault="007526ED">
      <w:pPr>
        <w:numPr>
          <w:ilvl w:val="0"/>
          <w:numId w:val="11"/>
        </w:numPr>
        <w:spacing w:before="240" w:line="240" w:lineRule="auto"/>
        <w:ind w:left="567" w:hanging="567"/>
        <w:jc w:val="both"/>
        <w:rPr>
          <w:b/>
          <w:bCs/>
        </w:rPr>
      </w:pPr>
      <w:r>
        <w:rPr>
          <w:b/>
          <w:bCs/>
        </w:rPr>
        <w:t>Beneficios cualitativos:</w:t>
      </w:r>
    </w:p>
    <w:p w14:paraId="5689C4D3" w14:textId="77777777" w:rsidR="00D17B12" w:rsidRDefault="007526ED">
      <w:pPr>
        <w:numPr>
          <w:ilvl w:val="0"/>
          <w:numId w:val="12"/>
        </w:numPr>
        <w:spacing w:before="240" w:line="240" w:lineRule="auto"/>
        <w:jc w:val="both"/>
      </w:pPr>
      <w:r>
        <w:rPr>
          <w:b/>
          <w:bCs/>
        </w:rPr>
        <w:t>Fortalecimiento de los mecanismos de financiamiento y sostenibilidad del sector.-</w:t>
      </w:r>
      <w:r>
        <w:t xml:space="preserve"> El reglamento permite implementar el régimen de estímulos económicos previsto por la Ley N.° 32309, facilitando la asignación eficiente, oportuna y transparente del presupuesto que año a año se destina a los incentivos económicos vinculados a las actividades cinematográficas y audiovisuales.  </w:t>
      </w:r>
    </w:p>
    <w:p w14:paraId="7E50B328" w14:textId="77777777" w:rsidR="00D17B12" w:rsidRDefault="007526ED">
      <w:pPr>
        <w:numPr>
          <w:ilvl w:val="0"/>
          <w:numId w:val="12"/>
        </w:numPr>
        <w:spacing w:before="240" w:line="240" w:lineRule="auto"/>
        <w:jc w:val="both"/>
      </w:pPr>
      <w:r>
        <w:rPr>
          <w:b/>
          <w:bCs/>
        </w:rPr>
        <w:t>Desarrollo de un sistema de estímulos económicos más equitativo y predecible.-</w:t>
      </w:r>
      <w:r>
        <w:t xml:space="preserve"> El reglamento se basa en principios, procedimientos, condiciones, requisitos y criterios que aseguran mayor transparencia, imparcialidad y trazabilidad en la asignación de los recursos públicos. Con ello, se promueve una distribución equitativa de los estímulos y se reconoce la diversidad de actividades susceptibles de ser fomentadas. </w:t>
      </w:r>
    </w:p>
    <w:p w14:paraId="78F603EF" w14:textId="77777777" w:rsidR="00D17B12" w:rsidRDefault="007526ED">
      <w:pPr>
        <w:numPr>
          <w:ilvl w:val="0"/>
          <w:numId w:val="12"/>
        </w:numPr>
        <w:spacing w:before="240" w:line="240" w:lineRule="auto"/>
        <w:jc w:val="both"/>
      </w:pPr>
      <w:r>
        <w:rPr>
          <w:b/>
          <w:bCs/>
        </w:rPr>
        <w:t>Se favorece la descentralización efectiva en el acceso a los estímulos.-</w:t>
      </w:r>
      <w:r>
        <w:t xml:space="preserve"> El reglamento operativiza el criterio de descentralización adoptado por la Ley N.° 32309, al reservar, como mínimo, el 40% del fondo total para proyectos desarrollados en regiones distintas a Lima Metropolitana y Callao. El reglamento establece los criterios, condiciones y requisitos claros para su aplicación, contribuyendo así a reducir las desigualdades territoriales en el fomento de las actividades cinematográficas y audiovisuales. </w:t>
      </w:r>
    </w:p>
    <w:p w14:paraId="1101D227" w14:textId="77777777" w:rsidR="00D17B12" w:rsidRDefault="007526ED">
      <w:pPr>
        <w:numPr>
          <w:ilvl w:val="0"/>
          <w:numId w:val="12"/>
        </w:numPr>
        <w:spacing w:before="240" w:line="240" w:lineRule="auto"/>
        <w:jc w:val="both"/>
      </w:pPr>
      <w:r>
        <w:rPr>
          <w:b/>
          <w:bCs/>
        </w:rPr>
        <w:t xml:space="preserve">Promoción de la diversidad cultural y lingüística.- </w:t>
      </w:r>
      <w:r>
        <w:t>En consonancia con la Ley N.° 32309, el reglamento adopta un enfoque intercultural, que reconoce y estimula la representación de identidades, lenguas, territorios y expresiones originarias. En ese sentido, conserva la priorización de las líneas de estímulo para obras indígenas u originarias y el uso de lenguas indígenas, originarias o dialectos. Estas medidas contribuyen a consolidar el cine como un espacio de afirmación identitaria, memoria colectiva y democratización, en coherencia con la Política Nacional de Cultura al 2030 y la Declaración Universal de la UNESCO sobre la Diversidad Cultural.</w:t>
      </w:r>
    </w:p>
    <w:p w14:paraId="0DE7CC0E" w14:textId="77777777" w:rsidR="00D17B12" w:rsidRDefault="007526ED">
      <w:pPr>
        <w:numPr>
          <w:ilvl w:val="0"/>
          <w:numId w:val="12"/>
        </w:numPr>
        <w:spacing w:before="240" w:line="240" w:lineRule="auto"/>
        <w:jc w:val="both"/>
      </w:pPr>
      <w:r>
        <w:rPr>
          <w:b/>
          <w:bCs/>
        </w:rPr>
        <w:t>Estimulación de la circulación y visibilidad de las obras nacionales.-</w:t>
      </w:r>
      <w:r>
        <w:t xml:space="preserve"> El reglamento fortalece la difusión y exhibición de obras cinematográficas y audiovisuales peruanas mediante el dictado de disposiciones que promuevan la coordinación con el Instituto Nacional de Radio y Televisión del Perú – IRTP. Asimismo, precisa líneas de acción para la difusión y exhibición, incentivando la proyección nacional e internacional de obras peruanas. Con ello, se amplifica la presencia de la producción nacional en circuitos culturales y comerciales, favoreciendo su impacto social y su sostenibilidad económica.</w:t>
      </w:r>
    </w:p>
    <w:p w14:paraId="108BFD2C" w14:textId="77777777" w:rsidR="00D17B12" w:rsidRDefault="007526ED">
      <w:pPr>
        <w:numPr>
          <w:ilvl w:val="0"/>
          <w:numId w:val="12"/>
        </w:numPr>
        <w:spacing w:before="240" w:line="240" w:lineRule="auto"/>
        <w:jc w:val="both"/>
      </w:pPr>
      <w:r>
        <w:rPr>
          <w:b/>
          <w:bCs/>
        </w:rPr>
        <w:t xml:space="preserve">Mejora de la transparencia y rendición de cuentas.- </w:t>
      </w:r>
      <w:r>
        <w:t>El reglamento establece medidas para la fiscalización y supervisión del uso de los recursos públicos, tales como la suscripción de actas de compromiso y fichas declarativas de obligaciones, la obligación de informes técnicos y financieros por parte de los beneficiarios, y la publicación periódica de resultados y listas de beneficiarios. Esto fortalece los mecanismos de supervisión, garantiza un uso eficiente del fondo público y refuerza la legitimidad de las políticas culturales ante la ciudadanía.</w:t>
      </w:r>
    </w:p>
    <w:p w14:paraId="657C2A6B" w14:textId="77777777" w:rsidR="00D17B12" w:rsidRDefault="007526ED">
      <w:pPr>
        <w:numPr>
          <w:ilvl w:val="0"/>
          <w:numId w:val="12"/>
        </w:numPr>
        <w:spacing w:before="240" w:line="240" w:lineRule="auto"/>
        <w:jc w:val="both"/>
      </w:pPr>
      <w:r>
        <w:rPr>
          <w:b/>
          <w:bCs/>
        </w:rPr>
        <w:t xml:space="preserve">Adecuación del régimen sancionador a la Ley N.° 27444, Ley del Procedimiento Administrativo General.- </w:t>
      </w:r>
      <w:r>
        <w:t>El reglamento adecúa el procedimiento administrativo sancionador del sector cinematográfico y audiovisual a los principios, garantías y etapas previstas en la Ley N.° 27444. De este modo, se asegura el debido procedimiento, se tipifican con claridad las infracciones y sanciones, y se establecen medidas cautelares y recursos impugnatorios en línea con el marco administrativo general. Esto fortalece la seguridad jurídica del sector y la protección de los derechos de los administrados.</w:t>
      </w:r>
    </w:p>
    <w:p w14:paraId="677435DE" w14:textId="77777777" w:rsidR="00D17B12" w:rsidRDefault="007526ED">
      <w:pPr>
        <w:spacing w:before="240" w:line="240" w:lineRule="auto"/>
        <w:ind w:left="567" w:hanging="567"/>
        <w:jc w:val="both"/>
        <w:rPr>
          <w:b/>
          <w:bCs/>
        </w:rPr>
      </w:pPr>
      <w:r>
        <w:rPr>
          <w:b/>
          <w:bCs/>
        </w:rPr>
        <w:t xml:space="preserve">9. </w:t>
      </w:r>
      <w:r>
        <w:rPr>
          <w:b/>
          <w:bCs/>
        </w:rPr>
        <w:tab/>
        <w:t>IMPACTO DE LA VIGENCIA DEL REGLAMENTO EN LA LEGISLACIÓN NACIONAL</w:t>
      </w:r>
    </w:p>
    <w:p w14:paraId="70436E2C" w14:textId="77777777" w:rsidR="00D17B12" w:rsidRDefault="007526ED">
      <w:pPr>
        <w:spacing w:before="240" w:after="240" w:line="240" w:lineRule="auto"/>
        <w:jc w:val="both"/>
      </w:pPr>
      <w:r>
        <w:t>Como se señaló, la Novena Disposición Complementaria Final de la Ley N.° 32309 ordena al Poder Ejecutivo aprobar su reglamento, en tanto que la Décima Disposición Complementaria Final de la misma norma señala que la Ley N.° 32309 entra en vigencia al día siguiente de la aprobación de su reglamento. En ese sentido, el proyecto de reglamento cumple expresamente ese mandato y se dicta al amparo de la potestad prevista en el inciso 8 del artículo 118 de la Constitución Política del Perú, que faculta al Presidente de la República a reglamentar las leyes sin transgredirlas ni desnaturalizarlas. En consecuencia, el texto no crea obligaciones adicionales ni restringe derechos más allá de lo establecido por la Ley N.° 32309; se limita a precisar los conceptos, procedimientos, requisitos y criterios indispensables para su correcta ejecución.</w:t>
      </w:r>
    </w:p>
    <w:p w14:paraId="65E676BB" w14:textId="77777777" w:rsidR="00D17B12" w:rsidRDefault="007526ED">
      <w:pPr>
        <w:spacing w:before="240" w:after="240" w:line="240" w:lineRule="auto"/>
        <w:jc w:val="both"/>
      </w:pPr>
      <w:r>
        <w:t>En relación con la temática de la norma, es pertinente indicar que el numeral 8 del artículo 2 de la Constitución señala que toda persona tiene derecho a la libertad de creación intelectual, artística, técnica y científica, así como a la propiedad sobre dichas creaciones y a su producto. En consonancia con ello, se establece, como obligación del Estado, propiciar el acceso a la cultura y fomentar su desarrollo y difusión. De esta forma, la norma establece el régimen de fomento para la actividad cinematográfica y audiovisual, con el propósito de contribuir a su desarrollo sostenible. Asimismo, se ajusta a las competencias sectoriales del Ministerio de Cultura, en particular a las áreas programáticas de “gestión cultural e industrias culturales”. Con ello se articula con los artículos 4 y 7 de la Ley N.° 29565, que confieren a dicho ministerio la competencia exclusiva para proponer normas dentro de sus ámbitos programáticos.</w:t>
      </w:r>
    </w:p>
    <w:p w14:paraId="5565E1BD" w14:textId="77777777" w:rsidR="00D17B12" w:rsidRDefault="007526ED">
      <w:pPr>
        <w:spacing w:before="240" w:after="240" w:line="240" w:lineRule="auto"/>
        <w:jc w:val="both"/>
      </w:pPr>
      <w:r>
        <w:t>Asimismo, el reglamento es plenamente coherente con la LPAG, al adoptar sus principios, reglas y garantías en todas las actuaciones vinculadas a la inscripción en el RENCA, la evaluación de solicitudes, otorgamiento es estímulos, seguimiento de obligaciones, fiscalización y eventual imposición de sanciones. De esta forma, el reglamento garantiza no solo su legalidad frente al marco procedimental general, sino también principios básicos como razonabilidad, transparencia, predictibilidad, imparcialidad, publicidad, celeridad y la tutela efectiva de los derechos de los administrados.</w:t>
      </w:r>
    </w:p>
    <w:p w14:paraId="4091E887" w14:textId="77777777" w:rsidR="00D17B12" w:rsidRDefault="007526ED">
      <w:pPr>
        <w:spacing w:before="240" w:after="240" w:line="240" w:lineRule="auto"/>
        <w:jc w:val="both"/>
      </w:pPr>
      <w:r>
        <w:t>En línea con los compromisos nacionales e internacionales del Perú y la Política Nacional de Cultura al 2030, el Reglamento:</w:t>
      </w:r>
    </w:p>
    <w:p w14:paraId="389246DB" w14:textId="77777777" w:rsidR="00D17B12" w:rsidRDefault="007526ED">
      <w:pPr>
        <w:numPr>
          <w:ilvl w:val="0"/>
          <w:numId w:val="4"/>
        </w:numPr>
        <w:spacing w:before="240" w:line="240" w:lineRule="auto"/>
        <w:jc w:val="both"/>
      </w:pPr>
      <w:r>
        <w:t>Contribuye directamente con el Lineamiento 3.2 de la Política Nacional de Cultura al 2030 (“Brindar incentivos económicos y no económicos a agentes culturales, negocios y proyectos culturales”) y al Objetivo Prioritario 3 (“Fortalecer el desarrollo sostenible de las artes e industrias culturales y creativas”);</w:t>
      </w:r>
    </w:p>
    <w:p w14:paraId="5EB501CB" w14:textId="77777777" w:rsidR="00D17B12" w:rsidRDefault="007526ED">
      <w:pPr>
        <w:numPr>
          <w:ilvl w:val="0"/>
          <w:numId w:val="4"/>
        </w:numPr>
        <w:spacing w:line="240" w:lineRule="auto"/>
        <w:jc w:val="both"/>
      </w:pPr>
      <w:r>
        <w:t>Refuerza los Objetivos de Desarrollo Sostenible 8 y 11 de la Agenda 2030 (trabajo decente y crecimiento económico; ciudades y comunidades sostenibles); y,</w:t>
      </w:r>
    </w:p>
    <w:p w14:paraId="6112B876" w14:textId="77777777" w:rsidR="00D17B12" w:rsidRDefault="007526ED">
      <w:pPr>
        <w:numPr>
          <w:ilvl w:val="0"/>
          <w:numId w:val="4"/>
        </w:numPr>
        <w:spacing w:line="240" w:lineRule="auto"/>
        <w:jc w:val="both"/>
      </w:pPr>
      <w:r>
        <w:t>Se enmarca en la Convención de la UNESCO sobre la Protección y Promoción de la Diversidad de las Expresiones Culturales.</w:t>
      </w:r>
    </w:p>
    <w:p w14:paraId="263B8067" w14:textId="77777777" w:rsidR="00D17B12" w:rsidRDefault="007526ED">
      <w:pPr>
        <w:spacing w:before="240" w:after="240" w:line="240" w:lineRule="auto"/>
        <w:jc w:val="both"/>
        <w:rPr>
          <w:b/>
          <w:bCs/>
        </w:rPr>
      </w:pPr>
      <w:r>
        <w:t>De esta manera, el Reglamento traduce los objetivos estratégicos de la política cultural en reglas operativas claras, fomenta un financiamiento predecible y descentralizado, reconoce la diversidad cultural y fortalece las capacidades del sector, asegurando que los recursos públicos destinados a la actividad cinematográfica y audiovisual contribuyan, de forma medible, al ejercicio de los derechos culturales y al crecimiento equilibrado de las industrias creativas en todo el territorio nacional.</w:t>
      </w:r>
    </w:p>
    <w:p w14:paraId="53B9BAB8" w14:textId="77777777" w:rsidR="00D17B12" w:rsidRDefault="00D17B12">
      <w:pPr>
        <w:spacing w:before="240" w:after="240" w:line="240" w:lineRule="auto"/>
        <w:jc w:val="both"/>
      </w:pPr>
    </w:p>
    <w:sectPr w:rsidR="00D17B12">
      <w:footerReference w:type="default" r:id="rId9"/>
      <w:pgSz w:w="11900" w:h="16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EE82F" w14:textId="77777777" w:rsidR="00F770D6" w:rsidRDefault="00F770D6">
      <w:pPr>
        <w:spacing w:line="240" w:lineRule="auto"/>
      </w:pPr>
      <w:r>
        <w:separator/>
      </w:r>
    </w:p>
  </w:endnote>
  <w:endnote w:type="continuationSeparator" w:id="0">
    <w:p w14:paraId="17107816" w14:textId="77777777" w:rsidR="00F770D6" w:rsidRDefault="00F770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435CF98-3F3A-4234-B613-DED9596EADB1}"/>
    <w:embedBold r:id="rId2" w:fontKey="{9ECC692B-1751-42FF-A8B0-DA7C6663595E}"/>
  </w:font>
  <w:font w:name="Roboto">
    <w:charset w:val="00"/>
    <w:family w:val="auto"/>
    <w:pitch w:val="variable"/>
    <w:sig w:usb0="E0000AFF" w:usb1="5000217F" w:usb2="00000021" w:usb3="00000000" w:csb0="0000019F" w:csb1="00000000"/>
    <w:embedRegular r:id="rId3" w:fontKey="{36C02426-E34B-4E85-B38A-33AF305BEC7A}"/>
    <w:embedBold r:id="rId4" w:fontKey="{FFB59663-41B4-4209-91F7-E863B43F5A91}"/>
    <w:embedItalic r:id="rId5" w:fontKey="{C84C5289-1B62-44F3-B215-F2C5A841A37E}"/>
  </w:font>
  <w:font w:name="Cambria">
    <w:panose1 w:val="02040503050406030204"/>
    <w:charset w:val="00"/>
    <w:family w:val="roman"/>
    <w:pitch w:val="variable"/>
    <w:sig w:usb0="E00006FF" w:usb1="420024FF" w:usb2="02000000" w:usb3="00000000" w:csb0="0000019F" w:csb1="00000000"/>
    <w:embedRegular r:id="rId6" w:fontKey="{1AACB964-9CB9-46D3-9446-F7AB997690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9F116" w14:textId="77777777" w:rsidR="00D17B12" w:rsidRDefault="007526ED">
    <w:pPr>
      <w:jc w:val="right"/>
    </w:pPr>
    <w:r>
      <w:fldChar w:fldCharType="begin"/>
    </w:r>
    <w:r>
      <w:instrText>PAGE</w:instrText>
    </w:r>
    <w:r>
      <w:fldChar w:fldCharType="separate"/>
    </w:r>
    <w:r w:rsidR="008245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93338" w14:textId="77777777" w:rsidR="00F770D6" w:rsidRDefault="00F770D6">
      <w:pPr>
        <w:spacing w:line="240" w:lineRule="auto"/>
      </w:pPr>
      <w:r>
        <w:separator/>
      </w:r>
    </w:p>
  </w:footnote>
  <w:footnote w:type="continuationSeparator" w:id="0">
    <w:p w14:paraId="2923D17C" w14:textId="77777777" w:rsidR="00F770D6" w:rsidRDefault="00F770D6">
      <w:pPr>
        <w:spacing w:line="240" w:lineRule="auto"/>
      </w:pPr>
      <w:r>
        <w:continuationSeparator/>
      </w:r>
    </w:p>
  </w:footnote>
  <w:footnote w:id="1">
    <w:p w14:paraId="47C47720" w14:textId="77777777" w:rsidR="00D17B12" w:rsidRDefault="007526ED">
      <w:pPr>
        <w:spacing w:line="240" w:lineRule="auto"/>
        <w:ind w:left="709" w:hanging="711"/>
        <w:rPr>
          <w:b/>
          <w:bCs/>
          <w:color w:val="151515"/>
          <w:sz w:val="16"/>
          <w:szCs w:val="16"/>
        </w:rPr>
      </w:pPr>
      <w:r>
        <w:rPr>
          <w:vertAlign w:val="superscript"/>
        </w:rPr>
        <w:footnoteRef/>
      </w:r>
      <w:r>
        <w:rPr>
          <w:sz w:val="16"/>
          <w:szCs w:val="16"/>
        </w:rPr>
        <w:t xml:space="preserve"> </w:t>
      </w:r>
      <w:r>
        <w:rPr>
          <w:sz w:val="16"/>
          <w:szCs w:val="16"/>
        </w:rPr>
        <w:tab/>
      </w:r>
      <w:r>
        <w:rPr>
          <w:b/>
          <w:bCs/>
          <w:color w:val="151515"/>
          <w:sz w:val="16"/>
          <w:szCs w:val="16"/>
        </w:rPr>
        <w:t>Constitución Política del Perú</w:t>
      </w:r>
    </w:p>
    <w:p w14:paraId="571AE6C2" w14:textId="77777777" w:rsidR="00D17B12" w:rsidRDefault="007526ED">
      <w:pPr>
        <w:spacing w:line="240" w:lineRule="auto"/>
        <w:ind w:left="709"/>
        <w:rPr>
          <w:b/>
          <w:bCs/>
          <w:color w:val="151515"/>
          <w:sz w:val="16"/>
          <w:szCs w:val="16"/>
        </w:rPr>
      </w:pPr>
      <w:r>
        <w:rPr>
          <w:b/>
          <w:bCs/>
          <w:color w:val="151515"/>
          <w:sz w:val="16"/>
          <w:szCs w:val="16"/>
        </w:rPr>
        <w:t>Atribuciones del Presidente de la República</w:t>
      </w:r>
    </w:p>
    <w:p w14:paraId="3E137C0A" w14:textId="77777777" w:rsidR="00D17B12" w:rsidRDefault="007526ED">
      <w:pPr>
        <w:shd w:val="clear" w:color="auto" w:fill="FFFFFF"/>
        <w:spacing w:line="240" w:lineRule="auto"/>
        <w:ind w:left="709" w:hanging="711"/>
        <w:jc w:val="both"/>
        <w:rPr>
          <w:color w:val="151515"/>
          <w:sz w:val="16"/>
          <w:szCs w:val="16"/>
        </w:rPr>
      </w:pPr>
      <w:r>
        <w:rPr>
          <w:color w:val="151515"/>
          <w:sz w:val="16"/>
          <w:szCs w:val="16"/>
        </w:rPr>
        <w:t xml:space="preserve">    </w:t>
      </w:r>
      <w:r>
        <w:rPr>
          <w:color w:val="151515"/>
          <w:sz w:val="16"/>
          <w:szCs w:val="16"/>
        </w:rPr>
        <w:tab/>
        <w:t>“Artículo 118.-</w:t>
      </w:r>
      <w:r>
        <w:rPr>
          <w:b/>
          <w:bCs/>
          <w:color w:val="151515"/>
          <w:sz w:val="16"/>
          <w:szCs w:val="16"/>
        </w:rPr>
        <w:t xml:space="preserve"> </w:t>
      </w:r>
      <w:r>
        <w:rPr>
          <w:color w:val="151515"/>
          <w:sz w:val="16"/>
          <w:szCs w:val="16"/>
        </w:rPr>
        <w:t>Corresponde al Presidente de la República:</w:t>
      </w:r>
    </w:p>
    <w:p w14:paraId="0C8A6420" w14:textId="77777777" w:rsidR="00D17B12" w:rsidRDefault="007526ED">
      <w:pPr>
        <w:shd w:val="clear" w:color="auto" w:fill="FFFFFF"/>
        <w:spacing w:line="240" w:lineRule="auto"/>
        <w:ind w:left="709" w:hanging="711"/>
        <w:jc w:val="both"/>
        <w:rPr>
          <w:color w:val="151515"/>
          <w:sz w:val="16"/>
          <w:szCs w:val="16"/>
        </w:rPr>
      </w:pPr>
      <w:r>
        <w:rPr>
          <w:color w:val="151515"/>
          <w:sz w:val="16"/>
          <w:szCs w:val="16"/>
        </w:rPr>
        <w:t xml:space="preserve">    </w:t>
      </w:r>
      <w:r>
        <w:rPr>
          <w:color w:val="151515"/>
          <w:sz w:val="16"/>
          <w:szCs w:val="16"/>
        </w:rPr>
        <w:tab/>
        <w:t>(...)</w:t>
      </w:r>
    </w:p>
    <w:p w14:paraId="342FE6F5" w14:textId="77777777" w:rsidR="00D17B12" w:rsidRDefault="007526ED">
      <w:pPr>
        <w:shd w:val="clear" w:color="auto" w:fill="FFFFFF"/>
        <w:spacing w:line="240" w:lineRule="auto"/>
        <w:ind w:left="709" w:hanging="711"/>
        <w:jc w:val="both"/>
        <w:rPr>
          <w:sz w:val="16"/>
          <w:szCs w:val="16"/>
        </w:rPr>
      </w:pPr>
      <w:r>
        <w:rPr>
          <w:color w:val="151515"/>
          <w:sz w:val="16"/>
          <w:szCs w:val="16"/>
        </w:rPr>
        <w:t xml:space="preserve">  </w:t>
      </w:r>
      <w:r>
        <w:rPr>
          <w:color w:val="151515"/>
          <w:sz w:val="16"/>
          <w:szCs w:val="16"/>
        </w:rPr>
        <w:tab/>
        <w:t>8. Ejercer la potestad de reglamentar las leyes sin transgredirlas ni desnaturalizarlas; y, dentro de tales límites, dictar decretos y resoluciones.”</w:t>
      </w:r>
    </w:p>
  </w:footnote>
  <w:footnote w:id="2">
    <w:p w14:paraId="2CBC1BD9" w14:textId="77777777" w:rsidR="00D17B12" w:rsidRDefault="007526ED">
      <w:pPr>
        <w:spacing w:line="240" w:lineRule="auto"/>
        <w:ind w:left="709" w:hanging="711"/>
        <w:rPr>
          <w:b/>
          <w:bCs/>
          <w:color w:val="151515"/>
          <w:sz w:val="16"/>
          <w:szCs w:val="16"/>
        </w:rPr>
      </w:pPr>
      <w:r>
        <w:rPr>
          <w:vertAlign w:val="superscript"/>
        </w:rPr>
        <w:footnoteRef/>
      </w:r>
      <w:r>
        <w:rPr>
          <w:sz w:val="16"/>
          <w:szCs w:val="16"/>
        </w:rPr>
        <w:t xml:space="preserve">  </w:t>
      </w:r>
      <w:r>
        <w:rPr>
          <w:b/>
          <w:bCs/>
          <w:color w:val="151515"/>
          <w:sz w:val="16"/>
          <w:szCs w:val="16"/>
        </w:rPr>
        <w:t xml:space="preserve">  </w:t>
      </w:r>
      <w:r>
        <w:rPr>
          <w:b/>
          <w:bCs/>
          <w:color w:val="151515"/>
          <w:sz w:val="16"/>
          <w:szCs w:val="16"/>
        </w:rPr>
        <w:tab/>
        <w:t>Ley N.° 29158, Ley Orgánica del Poder Ejecutivo</w:t>
      </w:r>
    </w:p>
    <w:p w14:paraId="47851B50" w14:textId="77777777" w:rsidR="00D17B12" w:rsidRDefault="007526ED">
      <w:pPr>
        <w:spacing w:line="240" w:lineRule="auto"/>
        <w:ind w:left="709"/>
        <w:rPr>
          <w:b/>
          <w:bCs/>
          <w:color w:val="151515"/>
          <w:sz w:val="16"/>
          <w:szCs w:val="16"/>
        </w:rPr>
      </w:pPr>
      <w:r>
        <w:rPr>
          <w:b/>
          <w:bCs/>
          <w:color w:val="151515"/>
          <w:sz w:val="16"/>
          <w:szCs w:val="16"/>
        </w:rPr>
        <w:t>“Artículo 6.- Funciones del Poder Ejecutivo</w:t>
      </w:r>
    </w:p>
    <w:p w14:paraId="5875B0D7" w14:textId="77777777" w:rsidR="00D17B12" w:rsidRDefault="007526ED">
      <w:pPr>
        <w:shd w:val="clear" w:color="auto" w:fill="FFFFFF"/>
        <w:spacing w:line="240" w:lineRule="auto"/>
        <w:ind w:left="709" w:hanging="711"/>
        <w:jc w:val="both"/>
        <w:rPr>
          <w:color w:val="151515"/>
          <w:sz w:val="16"/>
          <w:szCs w:val="16"/>
        </w:rPr>
      </w:pPr>
      <w:r>
        <w:rPr>
          <w:b/>
          <w:bCs/>
          <w:color w:val="151515"/>
          <w:sz w:val="16"/>
          <w:szCs w:val="16"/>
        </w:rPr>
        <w:t xml:space="preserve">     </w:t>
      </w:r>
      <w:r>
        <w:rPr>
          <w:b/>
          <w:bCs/>
          <w:color w:val="151515"/>
          <w:sz w:val="16"/>
          <w:szCs w:val="16"/>
        </w:rPr>
        <w:tab/>
      </w:r>
      <w:r>
        <w:rPr>
          <w:color w:val="151515"/>
          <w:sz w:val="16"/>
          <w:szCs w:val="16"/>
        </w:rPr>
        <w:t>El Poder Ejecutivo ejerce las siguientes funciones:</w:t>
      </w:r>
    </w:p>
    <w:p w14:paraId="360E0DB6" w14:textId="77777777" w:rsidR="00D17B12" w:rsidRDefault="007526ED">
      <w:pPr>
        <w:shd w:val="clear" w:color="auto" w:fill="FFFFFF"/>
        <w:spacing w:line="240" w:lineRule="auto"/>
        <w:ind w:left="709"/>
        <w:jc w:val="both"/>
        <w:rPr>
          <w:sz w:val="16"/>
          <w:szCs w:val="16"/>
        </w:rPr>
      </w:pPr>
      <w:r>
        <w:rPr>
          <w:color w:val="151515"/>
          <w:sz w:val="16"/>
          <w:szCs w:val="16"/>
        </w:rPr>
        <w:t>1. Reglamentar las leyes, evaluar su aplicación y supervisar su cumplimiento.”</w:t>
      </w:r>
    </w:p>
  </w:footnote>
  <w:footnote w:id="3">
    <w:p w14:paraId="5430BE48" w14:textId="77777777" w:rsidR="00D17B12" w:rsidRDefault="007526ED">
      <w:pPr>
        <w:spacing w:line="240" w:lineRule="auto"/>
        <w:ind w:left="709" w:hanging="142"/>
        <w:rPr>
          <w:sz w:val="16"/>
          <w:szCs w:val="16"/>
        </w:rPr>
      </w:pPr>
      <w:r>
        <w:rPr>
          <w:vertAlign w:val="superscript"/>
        </w:rPr>
        <w:footnoteRef/>
      </w:r>
      <w:r>
        <w:rPr>
          <w:sz w:val="16"/>
          <w:szCs w:val="16"/>
        </w:rPr>
        <w:t xml:space="preserve"> </w:t>
      </w:r>
      <w:r>
        <w:rPr>
          <w:sz w:val="16"/>
          <w:szCs w:val="16"/>
        </w:rPr>
        <w:tab/>
      </w:r>
      <w:r>
        <w:rPr>
          <w:b/>
          <w:bCs/>
          <w:color w:val="151515"/>
          <w:sz w:val="16"/>
          <w:szCs w:val="16"/>
        </w:rPr>
        <w:t>Ley N.° 29158, Ley Orgánica del Poder Ejecutivo</w:t>
      </w:r>
    </w:p>
    <w:p w14:paraId="6D00AEB7" w14:textId="77777777" w:rsidR="00D17B12" w:rsidRDefault="007526ED">
      <w:pPr>
        <w:spacing w:line="240" w:lineRule="auto"/>
        <w:ind w:left="567"/>
        <w:rPr>
          <w:b/>
          <w:bCs/>
          <w:color w:val="151515"/>
          <w:sz w:val="16"/>
          <w:szCs w:val="16"/>
        </w:rPr>
      </w:pPr>
      <w:r>
        <w:rPr>
          <w:b/>
          <w:bCs/>
          <w:color w:val="151515"/>
          <w:sz w:val="16"/>
          <w:szCs w:val="16"/>
        </w:rPr>
        <w:t>Artículo 11.- Facultad normativa del Presidente de la República</w:t>
      </w:r>
    </w:p>
    <w:p w14:paraId="4E3B8529" w14:textId="77777777" w:rsidR="00D17B12" w:rsidRDefault="007526ED">
      <w:pPr>
        <w:shd w:val="clear" w:color="auto" w:fill="FFFFFF"/>
        <w:spacing w:line="240" w:lineRule="auto"/>
        <w:ind w:left="567"/>
        <w:jc w:val="both"/>
        <w:rPr>
          <w:color w:val="151515"/>
          <w:sz w:val="16"/>
          <w:szCs w:val="16"/>
        </w:rPr>
      </w:pPr>
      <w:r>
        <w:rPr>
          <w:color w:val="151515"/>
          <w:sz w:val="16"/>
          <w:szCs w:val="16"/>
        </w:rPr>
        <w:t>Corresponde al Presidente de la República dictar los siguientes dispositivos:</w:t>
      </w:r>
    </w:p>
    <w:p w14:paraId="5C705846" w14:textId="77777777" w:rsidR="00D17B12" w:rsidRDefault="007526ED">
      <w:pPr>
        <w:shd w:val="clear" w:color="auto" w:fill="FFFFFF"/>
        <w:spacing w:line="240" w:lineRule="auto"/>
        <w:ind w:left="567"/>
        <w:jc w:val="both"/>
        <w:rPr>
          <w:color w:val="151515"/>
          <w:sz w:val="16"/>
          <w:szCs w:val="16"/>
        </w:rPr>
      </w:pPr>
      <w:r>
        <w:rPr>
          <w:color w:val="151515"/>
          <w:sz w:val="16"/>
          <w:szCs w:val="16"/>
        </w:rPr>
        <w:t>(...)</w:t>
      </w:r>
    </w:p>
    <w:p w14:paraId="5CF76239" w14:textId="77777777" w:rsidR="00D17B12" w:rsidRDefault="007526ED">
      <w:pPr>
        <w:shd w:val="clear" w:color="auto" w:fill="FFFFFF"/>
        <w:spacing w:line="240" w:lineRule="auto"/>
        <w:ind w:left="567"/>
        <w:jc w:val="both"/>
        <w:rPr>
          <w:color w:val="151515"/>
          <w:sz w:val="16"/>
          <w:szCs w:val="16"/>
        </w:rPr>
      </w:pPr>
      <w:r>
        <w:rPr>
          <w:b/>
          <w:bCs/>
          <w:color w:val="151515"/>
          <w:sz w:val="16"/>
          <w:szCs w:val="16"/>
        </w:rPr>
        <w:t xml:space="preserve">3. Decretos Supremos.- </w:t>
      </w:r>
      <w:r>
        <w:rPr>
          <w:color w:val="151515"/>
          <w:sz w:val="16"/>
          <w:szCs w:val="16"/>
        </w:rPr>
        <w:t>Son normas de carácter general que reglamentan normas con rango de ley o regulan la actividad sectorial funcional o multisectorial funcional a nivel nacional. Pueden requerir o no el voto aprobatorio del Consejo de Ministros, según lo disponga la ley. Son rubricados por el Presidente de la República y refrendados por uno o más Ministros a cuyo ámbito de competencia correspondan.</w:t>
      </w:r>
    </w:p>
    <w:p w14:paraId="19801B05" w14:textId="77777777" w:rsidR="00D17B12" w:rsidRDefault="007526ED">
      <w:pPr>
        <w:shd w:val="clear" w:color="auto" w:fill="FFFFFF"/>
        <w:spacing w:line="240" w:lineRule="auto"/>
        <w:ind w:left="567" w:hanging="567"/>
        <w:jc w:val="both"/>
        <w:rPr>
          <w:sz w:val="16"/>
          <w:szCs w:val="16"/>
        </w:rPr>
      </w:pPr>
      <w:r>
        <w:rPr>
          <w:color w:val="151515"/>
          <w:sz w:val="16"/>
          <w:szCs w:val="16"/>
        </w:rPr>
        <w:t xml:space="preserve">     </w:t>
      </w:r>
      <w:r>
        <w:rPr>
          <w:color w:val="151515"/>
          <w:sz w:val="16"/>
          <w:szCs w:val="16"/>
        </w:rPr>
        <w:tab/>
        <w:t>Los Decretos Supremos entran en vigencia al día siguiente de su publicación en el Diario Oficial, salvo disposición contraria del mismo, que postergue su vigencia en todo o en parte.”</w:t>
      </w:r>
    </w:p>
  </w:footnote>
  <w:footnote w:id="4">
    <w:p w14:paraId="62996163" w14:textId="77777777" w:rsidR="00D17B12" w:rsidRDefault="007526ED">
      <w:pPr>
        <w:spacing w:line="240" w:lineRule="auto"/>
        <w:ind w:left="567" w:hanging="567"/>
        <w:rPr>
          <w:sz w:val="20"/>
          <w:szCs w:val="20"/>
        </w:rPr>
      </w:pPr>
      <w:r>
        <w:rPr>
          <w:vertAlign w:val="superscript"/>
        </w:rPr>
        <w:footnoteRef/>
      </w:r>
      <w:r>
        <w:rPr>
          <w:color w:val="151515"/>
          <w:sz w:val="16"/>
          <w:szCs w:val="16"/>
        </w:rPr>
        <w:t xml:space="preserve"> </w:t>
      </w:r>
      <w:r>
        <w:rPr>
          <w:color w:val="151515"/>
          <w:sz w:val="16"/>
          <w:szCs w:val="16"/>
        </w:rPr>
        <w:tab/>
        <w:t>DANÓS ORDOÑEZ, Jorge. (2007) El régimen de los reglamentos en el ordenamiento jurídico peruano. México: Biblioteca Virtual del Instituto de Investigación Jurídica de la UNAM. p. 186.</w:t>
      </w:r>
    </w:p>
  </w:footnote>
  <w:footnote w:id="5">
    <w:p w14:paraId="3139F340" w14:textId="77777777" w:rsidR="00D17B12" w:rsidRDefault="007526ED">
      <w:pPr>
        <w:spacing w:line="240" w:lineRule="auto"/>
        <w:ind w:left="567" w:hanging="567"/>
        <w:jc w:val="both"/>
        <w:rPr>
          <w:b/>
          <w:bCs/>
          <w:sz w:val="16"/>
          <w:szCs w:val="16"/>
        </w:rPr>
      </w:pPr>
      <w:r>
        <w:rPr>
          <w:vertAlign w:val="superscript"/>
        </w:rPr>
        <w:footnoteRef/>
      </w:r>
      <w:r>
        <w:rPr>
          <w:sz w:val="16"/>
          <w:szCs w:val="16"/>
        </w:rPr>
        <w:t xml:space="preserve"> </w:t>
      </w:r>
      <w:r>
        <w:rPr>
          <w:sz w:val="16"/>
          <w:szCs w:val="16"/>
        </w:rPr>
        <w:tab/>
      </w:r>
      <w:r>
        <w:rPr>
          <w:b/>
          <w:bCs/>
          <w:sz w:val="16"/>
          <w:szCs w:val="16"/>
        </w:rPr>
        <w:t>Ley N.° 29565, Ley de Creación del Ministerio de Cultura</w:t>
      </w:r>
    </w:p>
    <w:p w14:paraId="1735A163" w14:textId="77777777" w:rsidR="00D17B12" w:rsidRDefault="007526ED">
      <w:pPr>
        <w:shd w:val="clear" w:color="auto" w:fill="FFFFFF"/>
        <w:spacing w:line="240" w:lineRule="auto"/>
        <w:ind w:left="567"/>
        <w:jc w:val="both"/>
        <w:rPr>
          <w:b/>
          <w:bCs/>
          <w:color w:val="151515"/>
          <w:sz w:val="16"/>
          <w:szCs w:val="16"/>
        </w:rPr>
      </w:pPr>
      <w:r>
        <w:rPr>
          <w:b/>
          <w:bCs/>
          <w:color w:val="151515"/>
          <w:sz w:val="16"/>
          <w:szCs w:val="16"/>
        </w:rPr>
        <w:t>“Artículo 4.- Áreas programáticas de acción</w:t>
      </w:r>
    </w:p>
    <w:p w14:paraId="7F7D2336" w14:textId="77777777" w:rsidR="00D17B12" w:rsidRDefault="007526ED">
      <w:pPr>
        <w:shd w:val="clear" w:color="auto" w:fill="FFFFFF"/>
        <w:spacing w:line="240" w:lineRule="auto"/>
        <w:ind w:left="567"/>
        <w:jc w:val="both"/>
        <w:rPr>
          <w:color w:val="151515"/>
          <w:sz w:val="16"/>
          <w:szCs w:val="16"/>
        </w:rPr>
      </w:pPr>
      <w:r>
        <w:rPr>
          <w:color w:val="151515"/>
          <w:sz w:val="16"/>
          <w:szCs w:val="16"/>
        </w:rPr>
        <w:t>Las áreas programáticas de acción sobre las cuales el Ministerio de Cultura ejerce sus competencias, funciones y atribuciones para el logro de los objetivos y metas del Estado son las siguientes:</w:t>
      </w:r>
    </w:p>
    <w:p w14:paraId="7EBCBD0F" w14:textId="77777777" w:rsidR="00D17B12" w:rsidRDefault="007526ED">
      <w:pPr>
        <w:shd w:val="clear" w:color="auto" w:fill="FFFFFF"/>
        <w:spacing w:line="240" w:lineRule="auto"/>
        <w:ind w:left="567"/>
        <w:jc w:val="both"/>
        <w:rPr>
          <w:color w:val="151515"/>
          <w:sz w:val="16"/>
          <w:szCs w:val="16"/>
        </w:rPr>
      </w:pPr>
      <w:r>
        <w:rPr>
          <w:color w:val="151515"/>
          <w:sz w:val="16"/>
          <w:szCs w:val="16"/>
        </w:rPr>
        <w:t>(...)</w:t>
      </w:r>
    </w:p>
    <w:p w14:paraId="29ADDEC3" w14:textId="77777777" w:rsidR="00D17B12" w:rsidRDefault="007526ED">
      <w:pPr>
        <w:shd w:val="clear" w:color="auto" w:fill="FFFFFF"/>
        <w:spacing w:line="240" w:lineRule="auto"/>
        <w:ind w:left="567"/>
        <w:jc w:val="both"/>
        <w:rPr>
          <w:color w:val="151515"/>
          <w:sz w:val="16"/>
          <w:szCs w:val="16"/>
        </w:rPr>
      </w:pPr>
      <w:r>
        <w:rPr>
          <w:color w:val="151515"/>
          <w:sz w:val="16"/>
          <w:szCs w:val="16"/>
        </w:rPr>
        <w:t>c) Gestión cultural e industrias culturales.</w:t>
      </w:r>
    </w:p>
    <w:p w14:paraId="0E47B17D" w14:textId="77777777" w:rsidR="00D17B12" w:rsidRDefault="007526ED">
      <w:pPr>
        <w:shd w:val="clear" w:color="auto" w:fill="FFFFFF"/>
        <w:spacing w:line="240" w:lineRule="auto"/>
        <w:ind w:left="567"/>
        <w:jc w:val="both"/>
        <w:rPr>
          <w:sz w:val="16"/>
          <w:szCs w:val="16"/>
        </w:rPr>
      </w:pPr>
      <w:r>
        <w:rPr>
          <w:color w:val="151515"/>
          <w:sz w:val="16"/>
          <w:szCs w:val="16"/>
        </w:rPr>
        <w:t>(...)”</w:t>
      </w:r>
    </w:p>
  </w:footnote>
  <w:footnote w:id="6">
    <w:p w14:paraId="6F70C94C" w14:textId="77777777" w:rsidR="00D17B12" w:rsidRDefault="007526ED">
      <w:pPr>
        <w:spacing w:line="240" w:lineRule="auto"/>
        <w:ind w:left="567" w:hanging="567"/>
        <w:jc w:val="both"/>
        <w:rPr>
          <w:sz w:val="20"/>
          <w:szCs w:val="20"/>
        </w:rPr>
      </w:pPr>
      <w:r>
        <w:rPr>
          <w:vertAlign w:val="superscript"/>
        </w:rPr>
        <w:footnoteRef/>
      </w:r>
      <w:r>
        <w:rPr>
          <w:color w:val="151515"/>
          <w:sz w:val="16"/>
          <w:szCs w:val="16"/>
        </w:rPr>
        <w:t xml:space="preserve"> </w:t>
      </w:r>
      <w:r>
        <w:rPr>
          <w:color w:val="151515"/>
          <w:sz w:val="16"/>
          <w:szCs w:val="16"/>
        </w:rPr>
        <w:tab/>
        <w:t>Organización de las Naciones Unidas para la Educación, la Ciencia y la Cultura - UNESCO (2005). Convención para la promoción y protección de la diversidad de expresiones culturales. París: UNESCO.</w:t>
      </w:r>
    </w:p>
  </w:footnote>
  <w:footnote w:id="7">
    <w:p w14:paraId="54E74DFD" w14:textId="77777777" w:rsidR="00D17B12" w:rsidRDefault="007526ED">
      <w:pPr>
        <w:spacing w:line="240" w:lineRule="auto"/>
        <w:ind w:left="567" w:hanging="567"/>
        <w:jc w:val="both"/>
        <w:rPr>
          <w:sz w:val="20"/>
          <w:szCs w:val="20"/>
        </w:rPr>
      </w:pPr>
      <w:r>
        <w:rPr>
          <w:vertAlign w:val="superscript"/>
        </w:rPr>
        <w:footnoteRef/>
      </w:r>
      <w:r>
        <w:rPr>
          <w:color w:val="151515"/>
          <w:sz w:val="16"/>
          <w:szCs w:val="16"/>
        </w:rPr>
        <w:t xml:space="preserve"> </w:t>
      </w:r>
      <w:r>
        <w:rPr>
          <w:color w:val="151515"/>
          <w:sz w:val="16"/>
          <w:szCs w:val="16"/>
        </w:rPr>
        <w:tab/>
        <w:t>Ibid.</w:t>
      </w:r>
    </w:p>
  </w:footnote>
  <w:footnote w:id="8">
    <w:p w14:paraId="48A7B39C" w14:textId="77777777" w:rsidR="00D17B12" w:rsidRDefault="007526ED">
      <w:pPr>
        <w:spacing w:line="240" w:lineRule="auto"/>
        <w:ind w:left="567" w:hanging="567"/>
        <w:jc w:val="both"/>
        <w:rPr>
          <w:b/>
          <w:bCs/>
          <w:sz w:val="16"/>
          <w:szCs w:val="16"/>
        </w:rPr>
      </w:pPr>
      <w:r>
        <w:rPr>
          <w:vertAlign w:val="superscript"/>
        </w:rPr>
        <w:footnoteRef/>
      </w:r>
      <w:r>
        <w:rPr>
          <w:sz w:val="16"/>
          <w:szCs w:val="16"/>
        </w:rPr>
        <w:t xml:space="preserve"> </w:t>
      </w:r>
      <w:r>
        <w:rPr>
          <w:sz w:val="16"/>
          <w:szCs w:val="16"/>
        </w:rPr>
        <w:tab/>
      </w:r>
      <w:r>
        <w:rPr>
          <w:b/>
          <w:bCs/>
          <w:sz w:val="16"/>
          <w:szCs w:val="16"/>
        </w:rPr>
        <w:t>Ley N.° 29565, Ley de Creación del Ministerio de Cultura</w:t>
      </w:r>
    </w:p>
    <w:p w14:paraId="64A23333" w14:textId="77777777" w:rsidR="00D17B12" w:rsidRDefault="007526ED">
      <w:pPr>
        <w:spacing w:line="240" w:lineRule="auto"/>
        <w:ind w:left="567"/>
        <w:jc w:val="both"/>
        <w:rPr>
          <w:b/>
          <w:bCs/>
          <w:color w:val="151515"/>
          <w:sz w:val="16"/>
          <w:szCs w:val="16"/>
        </w:rPr>
      </w:pPr>
      <w:r>
        <w:rPr>
          <w:b/>
          <w:bCs/>
          <w:color w:val="151515"/>
          <w:sz w:val="16"/>
          <w:szCs w:val="16"/>
        </w:rPr>
        <w:t>“Artículo 5.- Competencias exclusivas</w:t>
      </w:r>
    </w:p>
    <w:p w14:paraId="3D9308F7" w14:textId="77777777" w:rsidR="00D17B12" w:rsidRDefault="007526ED">
      <w:pPr>
        <w:shd w:val="clear" w:color="auto" w:fill="FFFFFF"/>
        <w:spacing w:line="240" w:lineRule="auto"/>
        <w:ind w:left="567" w:hanging="567"/>
        <w:jc w:val="both"/>
        <w:rPr>
          <w:color w:val="151515"/>
          <w:sz w:val="16"/>
          <w:szCs w:val="16"/>
        </w:rPr>
      </w:pPr>
      <w:r>
        <w:rPr>
          <w:b/>
          <w:bCs/>
          <w:color w:val="151515"/>
          <w:sz w:val="16"/>
          <w:szCs w:val="16"/>
        </w:rPr>
        <w:t xml:space="preserve">     </w:t>
      </w:r>
      <w:r>
        <w:rPr>
          <w:b/>
          <w:bCs/>
          <w:color w:val="151515"/>
          <w:sz w:val="16"/>
          <w:szCs w:val="16"/>
        </w:rPr>
        <w:tab/>
      </w:r>
      <w:r>
        <w:rPr>
          <w:color w:val="151515"/>
          <w:sz w:val="16"/>
          <w:szCs w:val="16"/>
        </w:rPr>
        <w:t>El Ministerio de Cultura es el organismo rector en materia de cultura y ejerce competencia, exclusiva y excluyente, respecto de otros niveles de gobierno en todo el territorio nacional, en:</w:t>
      </w:r>
    </w:p>
    <w:p w14:paraId="4CCBB29D" w14:textId="77777777" w:rsidR="00D17B12" w:rsidRDefault="007526ED">
      <w:pPr>
        <w:shd w:val="clear" w:color="auto" w:fill="FFFFFF"/>
        <w:spacing w:line="240" w:lineRule="auto"/>
        <w:ind w:left="567"/>
        <w:jc w:val="both"/>
        <w:rPr>
          <w:color w:val="151515"/>
          <w:sz w:val="16"/>
          <w:szCs w:val="16"/>
        </w:rPr>
      </w:pPr>
      <w:r>
        <w:rPr>
          <w:color w:val="151515"/>
          <w:sz w:val="16"/>
          <w:szCs w:val="16"/>
        </w:rPr>
        <w:t>(...)</w:t>
      </w:r>
    </w:p>
    <w:p w14:paraId="3D90046E" w14:textId="77777777" w:rsidR="00D17B12" w:rsidRDefault="007526ED">
      <w:pPr>
        <w:spacing w:line="240" w:lineRule="auto"/>
        <w:ind w:left="567"/>
        <w:jc w:val="both"/>
        <w:rPr>
          <w:color w:val="151515"/>
          <w:sz w:val="16"/>
          <w:szCs w:val="16"/>
          <w:highlight w:val="white"/>
        </w:rPr>
      </w:pPr>
      <w:r>
        <w:rPr>
          <w:color w:val="151515"/>
          <w:sz w:val="16"/>
          <w:szCs w:val="16"/>
          <w:highlight w:val="white"/>
        </w:rPr>
        <w:t>i) La promoción de la creación cultural en todos sus campos, el perfeccionamiento de los creadores y gestores culturales y el desarrollo de las industrias culturales.</w:t>
      </w:r>
    </w:p>
    <w:p w14:paraId="5906D02B" w14:textId="77777777" w:rsidR="00D17B12" w:rsidRDefault="007526ED">
      <w:pPr>
        <w:spacing w:line="240" w:lineRule="auto"/>
        <w:ind w:left="567"/>
        <w:jc w:val="both"/>
        <w:rPr>
          <w:sz w:val="16"/>
          <w:szCs w:val="16"/>
        </w:rPr>
      </w:pPr>
      <w:r>
        <w:rPr>
          <w:color w:val="151515"/>
          <w:sz w:val="16"/>
          <w:szCs w:val="16"/>
          <w:highlight w:val="white"/>
        </w:rPr>
        <w:t>(...)”</w:t>
      </w:r>
    </w:p>
  </w:footnote>
  <w:footnote w:id="9">
    <w:p w14:paraId="756CE426" w14:textId="77777777" w:rsidR="00D17B12" w:rsidRDefault="007526ED">
      <w:pPr>
        <w:spacing w:line="240" w:lineRule="auto"/>
        <w:ind w:left="567" w:hanging="567"/>
        <w:jc w:val="both"/>
        <w:rPr>
          <w:b/>
          <w:bCs/>
          <w:sz w:val="16"/>
          <w:szCs w:val="16"/>
        </w:rPr>
      </w:pPr>
      <w:r>
        <w:rPr>
          <w:vertAlign w:val="superscript"/>
        </w:rPr>
        <w:footnoteRef/>
      </w:r>
      <w:r>
        <w:rPr>
          <w:sz w:val="16"/>
          <w:szCs w:val="16"/>
        </w:rPr>
        <w:t xml:space="preserve"> </w:t>
      </w:r>
      <w:r>
        <w:rPr>
          <w:sz w:val="16"/>
          <w:szCs w:val="16"/>
        </w:rPr>
        <w:tab/>
      </w:r>
      <w:r>
        <w:rPr>
          <w:b/>
          <w:bCs/>
          <w:sz w:val="16"/>
          <w:szCs w:val="16"/>
        </w:rPr>
        <w:t>Ley N.° 29565, Ley de Creación del Ministerio de Cultura</w:t>
      </w:r>
    </w:p>
    <w:p w14:paraId="6D798089" w14:textId="77777777" w:rsidR="00D17B12" w:rsidRDefault="007526ED">
      <w:pPr>
        <w:spacing w:line="240" w:lineRule="auto"/>
        <w:ind w:left="567"/>
        <w:jc w:val="both"/>
        <w:rPr>
          <w:b/>
          <w:bCs/>
          <w:color w:val="151515"/>
          <w:sz w:val="16"/>
          <w:szCs w:val="16"/>
        </w:rPr>
      </w:pPr>
      <w:r>
        <w:rPr>
          <w:b/>
          <w:bCs/>
          <w:color w:val="151515"/>
          <w:sz w:val="16"/>
          <w:szCs w:val="16"/>
        </w:rPr>
        <w:t>Artículo 7.- Funciones exclusivas</w:t>
      </w:r>
    </w:p>
    <w:p w14:paraId="6944F5FD" w14:textId="77777777" w:rsidR="00D17B12" w:rsidRDefault="007526ED">
      <w:pPr>
        <w:shd w:val="clear" w:color="auto" w:fill="FFFFFF"/>
        <w:spacing w:line="240" w:lineRule="auto"/>
        <w:ind w:left="567"/>
        <w:jc w:val="both"/>
        <w:rPr>
          <w:color w:val="151515"/>
          <w:sz w:val="16"/>
          <w:szCs w:val="16"/>
        </w:rPr>
      </w:pPr>
      <w:r>
        <w:rPr>
          <w:b/>
          <w:bCs/>
          <w:color w:val="151515"/>
          <w:sz w:val="16"/>
          <w:szCs w:val="16"/>
        </w:rPr>
        <w:t xml:space="preserve">     </w:t>
      </w:r>
      <w:r>
        <w:rPr>
          <w:color w:val="151515"/>
          <w:sz w:val="16"/>
          <w:szCs w:val="16"/>
        </w:rPr>
        <w:t xml:space="preserve"> El Ministerio de Cultura cumple las siguientes funciones exclusivas respecto de otros niveles de gobierno:</w:t>
      </w:r>
    </w:p>
    <w:p w14:paraId="159DCC3F" w14:textId="77777777" w:rsidR="00D17B12" w:rsidRDefault="007526ED">
      <w:pPr>
        <w:shd w:val="clear" w:color="auto" w:fill="FFFFFF"/>
        <w:spacing w:line="240" w:lineRule="auto"/>
        <w:ind w:left="567"/>
        <w:jc w:val="both"/>
        <w:rPr>
          <w:color w:val="151515"/>
          <w:sz w:val="16"/>
          <w:szCs w:val="16"/>
        </w:rPr>
      </w:pPr>
      <w:r>
        <w:rPr>
          <w:color w:val="151515"/>
          <w:sz w:val="16"/>
          <w:szCs w:val="16"/>
        </w:rPr>
        <w:t>(...)</w:t>
      </w:r>
    </w:p>
    <w:p w14:paraId="61B13E7D" w14:textId="77777777" w:rsidR="00D17B12" w:rsidRDefault="007526ED">
      <w:pPr>
        <w:spacing w:line="240" w:lineRule="auto"/>
        <w:ind w:left="567"/>
        <w:jc w:val="both"/>
        <w:rPr>
          <w:color w:val="151515"/>
          <w:sz w:val="16"/>
          <w:szCs w:val="16"/>
          <w:highlight w:val="white"/>
        </w:rPr>
      </w:pPr>
      <w:r>
        <w:rPr>
          <w:color w:val="151515"/>
          <w:sz w:val="16"/>
          <w:szCs w:val="16"/>
          <w:highlight w:val="white"/>
        </w:rPr>
        <w:t>o) Presentar anteproyectos de normas ante el Presidente de la República y ante el Consejo de Ministros sobre las materias a su cargo.</w:t>
      </w:r>
    </w:p>
    <w:p w14:paraId="67B724B0" w14:textId="77777777" w:rsidR="00D17B12" w:rsidRDefault="007526ED">
      <w:pPr>
        <w:spacing w:line="240" w:lineRule="auto"/>
        <w:ind w:left="567"/>
        <w:jc w:val="both"/>
        <w:rPr>
          <w:sz w:val="16"/>
          <w:szCs w:val="16"/>
        </w:rPr>
      </w:pPr>
      <w:r>
        <w:rPr>
          <w:color w:val="151515"/>
          <w:sz w:val="16"/>
          <w:szCs w:val="16"/>
          <w:highlight w:val="white"/>
        </w:rPr>
        <w:t>(...)”</w:t>
      </w:r>
    </w:p>
  </w:footnote>
  <w:footnote w:id="10">
    <w:p w14:paraId="780767A0" w14:textId="77777777" w:rsidR="00D17B12" w:rsidRDefault="007526ED">
      <w:pPr>
        <w:spacing w:line="240" w:lineRule="auto"/>
        <w:ind w:left="567" w:hanging="567"/>
        <w:rPr>
          <w:b/>
          <w:bCs/>
          <w:sz w:val="16"/>
          <w:szCs w:val="16"/>
        </w:rPr>
      </w:pPr>
      <w:r>
        <w:rPr>
          <w:vertAlign w:val="superscript"/>
        </w:rPr>
        <w:footnoteRef/>
      </w:r>
      <w:r>
        <w:rPr>
          <w:sz w:val="20"/>
          <w:szCs w:val="20"/>
        </w:rPr>
        <w:t xml:space="preserve"> </w:t>
      </w:r>
      <w:r>
        <w:rPr>
          <w:sz w:val="20"/>
          <w:szCs w:val="20"/>
        </w:rPr>
        <w:tab/>
      </w:r>
      <w:r>
        <w:rPr>
          <w:b/>
          <w:bCs/>
          <w:sz w:val="16"/>
          <w:szCs w:val="16"/>
        </w:rPr>
        <w:t>Texto Único Ordenado de la Ley N.° 27444 - Ley del Procedimiento Administrativo General</w:t>
      </w:r>
    </w:p>
    <w:p w14:paraId="4F1F5059" w14:textId="77777777" w:rsidR="00D17B12" w:rsidRDefault="007526ED">
      <w:pPr>
        <w:spacing w:line="240" w:lineRule="auto"/>
        <w:ind w:left="567"/>
        <w:jc w:val="both"/>
        <w:rPr>
          <w:b/>
          <w:bCs/>
          <w:color w:val="151515"/>
          <w:sz w:val="16"/>
          <w:szCs w:val="16"/>
        </w:rPr>
      </w:pPr>
      <w:r>
        <w:rPr>
          <w:b/>
          <w:bCs/>
          <w:color w:val="151515"/>
          <w:sz w:val="16"/>
          <w:szCs w:val="16"/>
        </w:rPr>
        <w:t>Artículo 73.- Presunción de competencia desconcentrada</w:t>
      </w:r>
    </w:p>
    <w:p w14:paraId="7F5A3D78" w14:textId="77777777" w:rsidR="00D17B12" w:rsidRDefault="007526ED">
      <w:pPr>
        <w:shd w:val="clear" w:color="auto" w:fill="FFFFFF"/>
        <w:spacing w:line="240" w:lineRule="auto"/>
        <w:ind w:left="567"/>
        <w:jc w:val="both"/>
        <w:rPr>
          <w:color w:val="151515"/>
          <w:sz w:val="16"/>
          <w:szCs w:val="16"/>
        </w:rPr>
      </w:pPr>
      <w:r>
        <w:rPr>
          <w:color w:val="151515"/>
          <w:sz w:val="16"/>
          <w:szCs w:val="16"/>
        </w:rPr>
        <w:t>(...)</w:t>
      </w:r>
    </w:p>
    <w:p w14:paraId="43F52E50" w14:textId="77777777" w:rsidR="00D17B12" w:rsidRDefault="007526ED">
      <w:pPr>
        <w:shd w:val="clear" w:color="auto" w:fill="FFFFFF"/>
        <w:spacing w:line="240" w:lineRule="auto"/>
        <w:ind w:left="567"/>
        <w:jc w:val="both"/>
        <w:rPr>
          <w:sz w:val="20"/>
          <w:szCs w:val="20"/>
        </w:rPr>
      </w:pPr>
      <w:r>
        <w:rPr>
          <w:color w:val="151515"/>
          <w:sz w:val="16"/>
          <w:szCs w:val="16"/>
        </w:rPr>
        <w:t>73.1. Cuando una norma atribuya a una entidad alguna competencia o facultad sin especificar qué órgano a su interior debe ejercerla, debe entenderse que corresponde al órgano de inferior jerarquía de función más similar vinculada a ella en razón de la materia y de territorio, y, en caso de existir varios órganos posibles, al superior jerárquico común (…).</w:t>
      </w:r>
    </w:p>
  </w:footnote>
  <w:footnote w:id="11">
    <w:p w14:paraId="2FFE8782" w14:textId="77777777" w:rsidR="00D17B12" w:rsidRDefault="007526ED">
      <w:pPr>
        <w:spacing w:line="240" w:lineRule="auto"/>
        <w:ind w:left="567" w:hanging="567"/>
        <w:jc w:val="both"/>
        <w:rPr>
          <w:sz w:val="20"/>
          <w:szCs w:val="20"/>
        </w:rPr>
      </w:pPr>
      <w:r>
        <w:rPr>
          <w:vertAlign w:val="superscript"/>
        </w:rPr>
        <w:footnoteRef/>
      </w:r>
      <w:r>
        <w:rPr>
          <w:sz w:val="20"/>
          <w:szCs w:val="20"/>
        </w:rPr>
        <w:t xml:space="preserve"> </w:t>
      </w:r>
      <w:r>
        <w:rPr>
          <w:color w:val="151515"/>
          <w:sz w:val="16"/>
          <w:szCs w:val="16"/>
        </w:rPr>
        <w:t xml:space="preserve"> </w:t>
      </w:r>
      <w:r>
        <w:rPr>
          <w:color w:val="151515"/>
          <w:sz w:val="16"/>
          <w:szCs w:val="16"/>
        </w:rPr>
        <w:tab/>
        <w:t>Aprobada mediante Decreto Supremo N.° 009-2020-MC el día 20 de julio de 2020, en concordancia con lo dispuesto en el reglamento que regula las Políticas Nacionales (Decreto Supremo N.° 029-2018-PCM) y en la Guía de Políticas Nacionales (CEPLAN 2018, aprobada mediante Resolución de Presidencia del Consejo Directivo N.° 047-2018/CEPLAN/PCD, y modificada por la Resolución de Presidencia del Consejo Directivo N.° 057-2018/CEPLAN/PCD.</w:t>
      </w:r>
    </w:p>
  </w:footnote>
  <w:footnote w:id="12">
    <w:p w14:paraId="52A154E7" w14:textId="77777777" w:rsidR="00D17B12" w:rsidRDefault="007526ED">
      <w:pPr>
        <w:spacing w:line="240" w:lineRule="auto"/>
        <w:ind w:left="567" w:hanging="567"/>
        <w:rPr>
          <w:b/>
          <w:bCs/>
          <w:color w:val="151515"/>
          <w:sz w:val="16"/>
          <w:szCs w:val="16"/>
        </w:rPr>
      </w:pPr>
      <w:r>
        <w:rPr>
          <w:vertAlign w:val="superscript"/>
        </w:rPr>
        <w:footnoteRef/>
      </w:r>
      <w:r>
        <w:rPr>
          <w:sz w:val="20"/>
          <w:szCs w:val="20"/>
        </w:rPr>
        <w:t xml:space="preserve"> </w:t>
      </w:r>
      <w:r>
        <w:rPr>
          <w:sz w:val="20"/>
          <w:szCs w:val="20"/>
        </w:rPr>
        <w:tab/>
      </w:r>
      <w:r>
        <w:rPr>
          <w:b/>
          <w:bCs/>
          <w:color w:val="151515"/>
          <w:sz w:val="16"/>
          <w:szCs w:val="16"/>
        </w:rPr>
        <w:t>Ley N.° 29158, Ley Orgánica del Poder Ejecutivo</w:t>
      </w:r>
    </w:p>
    <w:p w14:paraId="1242F11F" w14:textId="77777777" w:rsidR="00D17B12" w:rsidRDefault="007526ED">
      <w:pPr>
        <w:spacing w:line="240" w:lineRule="auto"/>
        <w:ind w:left="567"/>
        <w:rPr>
          <w:b/>
          <w:bCs/>
          <w:color w:val="151515"/>
          <w:sz w:val="16"/>
          <w:szCs w:val="16"/>
        </w:rPr>
      </w:pPr>
      <w:r>
        <w:rPr>
          <w:b/>
          <w:bCs/>
          <w:color w:val="151515"/>
          <w:sz w:val="16"/>
          <w:szCs w:val="16"/>
        </w:rPr>
        <w:t>“Artículo 4.- Competencias exclusivas del Poder Ejecutivo</w:t>
      </w:r>
    </w:p>
    <w:p w14:paraId="2D28E584" w14:textId="77777777" w:rsidR="00D17B12" w:rsidRDefault="007526ED">
      <w:pPr>
        <w:shd w:val="clear" w:color="auto" w:fill="FFFFFF"/>
        <w:spacing w:line="240" w:lineRule="auto"/>
        <w:ind w:left="567"/>
        <w:jc w:val="both"/>
        <w:rPr>
          <w:color w:val="151515"/>
          <w:sz w:val="16"/>
          <w:szCs w:val="16"/>
        </w:rPr>
      </w:pPr>
      <w:r>
        <w:rPr>
          <w:color w:val="151515"/>
          <w:sz w:val="16"/>
          <w:szCs w:val="16"/>
        </w:rPr>
        <w:t>El Poder Ejecutivo tiene las siguientes competencias:</w:t>
      </w:r>
    </w:p>
    <w:p w14:paraId="14F9B5B9" w14:textId="77777777" w:rsidR="00D17B12" w:rsidRDefault="007526ED">
      <w:pPr>
        <w:shd w:val="clear" w:color="auto" w:fill="FFFFFF"/>
        <w:spacing w:line="240" w:lineRule="auto"/>
        <w:ind w:left="567"/>
        <w:jc w:val="both"/>
        <w:rPr>
          <w:sz w:val="20"/>
          <w:szCs w:val="20"/>
        </w:rPr>
      </w:pPr>
      <w:r>
        <w:rPr>
          <w:color w:val="151515"/>
          <w:sz w:val="16"/>
          <w:szCs w:val="16"/>
        </w:rPr>
        <w:t>1. Diseñar y supervisar las políticas nacionales y sectoriales, las cuales son de cumplimiento obligatorio por todas las entidades del Estado en todos los niveles de gobierno (...).”</w:t>
      </w:r>
    </w:p>
  </w:footnote>
  <w:footnote w:id="13">
    <w:p w14:paraId="4ABD3999" w14:textId="77777777" w:rsidR="00D17B12" w:rsidRDefault="007526ED">
      <w:pPr>
        <w:spacing w:line="240" w:lineRule="auto"/>
        <w:ind w:left="567" w:hanging="567"/>
        <w:rPr>
          <w:sz w:val="20"/>
          <w:szCs w:val="20"/>
        </w:rPr>
      </w:pPr>
      <w:r>
        <w:rPr>
          <w:vertAlign w:val="superscript"/>
        </w:rPr>
        <w:footnoteRef/>
      </w:r>
      <w:r>
        <w:rPr>
          <w:sz w:val="20"/>
          <w:szCs w:val="20"/>
        </w:rPr>
        <w:t xml:space="preserve"> </w:t>
      </w:r>
      <w:r>
        <w:rPr>
          <w:sz w:val="20"/>
          <w:szCs w:val="20"/>
        </w:rPr>
        <w:tab/>
      </w:r>
      <w:r>
        <w:rPr>
          <w:color w:val="151515"/>
          <w:sz w:val="16"/>
          <w:szCs w:val="16"/>
        </w:rPr>
        <w:t>Política Nacional de Cultura al 2030 (2020). p. 18.</w:t>
      </w:r>
    </w:p>
  </w:footnote>
  <w:footnote w:id="14">
    <w:p w14:paraId="58576FAF" w14:textId="77777777" w:rsidR="00D17B12" w:rsidRDefault="007526ED">
      <w:pPr>
        <w:spacing w:line="240" w:lineRule="auto"/>
        <w:ind w:left="567" w:hanging="567"/>
        <w:jc w:val="both"/>
        <w:rPr>
          <w:b/>
          <w:bCs/>
          <w:color w:val="454545"/>
          <w:sz w:val="184"/>
          <w:szCs w:val="184"/>
        </w:rPr>
      </w:pPr>
      <w:r>
        <w:rPr>
          <w:vertAlign w:val="superscript"/>
        </w:rPr>
        <w:footnoteRef/>
      </w:r>
      <w:r>
        <w:rPr>
          <w:b/>
          <w:bCs/>
          <w:color w:val="151515"/>
          <w:sz w:val="16"/>
          <w:szCs w:val="16"/>
        </w:rPr>
        <w:t xml:space="preserve"> </w:t>
      </w:r>
      <w:r>
        <w:rPr>
          <w:b/>
          <w:bCs/>
          <w:color w:val="151515"/>
          <w:sz w:val="16"/>
          <w:szCs w:val="16"/>
        </w:rPr>
        <w:tab/>
        <w:t>Declaración Universal de Derechos Humanos</w:t>
      </w:r>
    </w:p>
    <w:p w14:paraId="2D6462E5" w14:textId="77777777" w:rsidR="00D17B12" w:rsidRDefault="007526ED">
      <w:pPr>
        <w:spacing w:line="240" w:lineRule="auto"/>
        <w:ind w:left="567"/>
        <w:jc w:val="both"/>
        <w:rPr>
          <w:b/>
          <w:bCs/>
          <w:color w:val="151515"/>
          <w:sz w:val="16"/>
          <w:szCs w:val="16"/>
        </w:rPr>
      </w:pPr>
      <w:r>
        <w:rPr>
          <w:b/>
          <w:bCs/>
          <w:color w:val="151515"/>
          <w:sz w:val="16"/>
          <w:szCs w:val="16"/>
        </w:rPr>
        <w:t>“Artículo 27</w:t>
      </w:r>
    </w:p>
    <w:p w14:paraId="7F32A841" w14:textId="77777777" w:rsidR="00D17B12" w:rsidRDefault="007526ED">
      <w:pPr>
        <w:spacing w:line="240" w:lineRule="auto"/>
        <w:ind w:left="567"/>
        <w:jc w:val="both"/>
        <w:rPr>
          <w:color w:val="151515"/>
          <w:sz w:val="16"/>
          <w:szCs w:val="16"/>
        </w:rPr>
      </w:pPr>
      <w:r>
        <w:rPr>
          <w:color w:val="151515"/>
          <w:sz w:val="16"/>
          <w:szCs w:val="16"/>
        </w:rPr>
        <w:t>Toda persona tiene derecho a tomar parte libremente en la vida cultural de la comunidad, a gozar de las artes y a participar del progreso científico y de los beneficios que de él resulten.</w:t>
      </w:r>
    </w:p>
    <w:p w14:paraId="556DC73D" w14:textId="77777777" w:rsidR="00D17B12" w:rsidRDefault="007526ED">
      <w:pPr>
        <w:spacing w:line="240" w:lineRule="auto"/>
        <w:ind w:left="567"/>
        <w:jc w:val="both"/>
        <w:rPr>
          <w:sz w:val="20"/>
          <w:szCs w:val="20"/>
        </w:rPr>
      </w:pPr>
      <w:r>
        <w:rPr>
          <w:color w:val="151515"/>
          <w:sz w:val="16"/>
          <w:szCs w:val="16"/>
        </w:rPr>
        <w:t>(...)”</w:t>
      </w:r>
    </w:p>
  </w:footnote>
  <w:footnote w:id="15">
    <w:p w14:paraId="6F81524A" w14:textId="77777777" w:rsidR="00D17B12" w:rsidRDefault="007526ED">
      <w:pPr>
        <w:spacing w:line="240" w:lineRule="auto"/>
        <w:ind w:left="567" w:hanging="567"/>
        <w:jc w:val="both"/>
        <w:rPr>
          <w:b/>
          <w:bCs/>
          <w:color w:val="151515"/>
          <w:sz w:val="16"/>
          <w:szCs w:val="16"/>
        </w:rPr>
      </w:pPr>
      <w:r>
        <w:rPr>
          <w:vertAlign w:val="superscript"/>
        </w:rPr>
        <w:footnoteRef/>
      </w:r>
      <w:r>
        <w:rPr>
          <w:b/>
          <w:bCs/>
          <w:color w:val="151515"/>
          <w:sz w:val="16"/>
          <w:szCs w:val="16"/>
        </w:rPr>
        <w:t xml:space="preserve"> </w:t>
      </w:r>
      <w:r>
        <w:rPr>
          <w:b/>
          <w:bCs/>
          <w:color w:val="151515"/>
          <w:sz w:val="16"/>
          <w:szCs w:val="16"/>
        </w:rPr>
        <w:tab/>
        <w:t>Pacto Internacional de Derechos Económicos, Sociales y Culturales</w:t>
      </w:r>
    </w:p>
    <w:p w14:paraId="4F3EC6A3" w14:textId="77777777" w:rsidR="00D17B12" w:rsidRDefault="007526ED">
      <w:pPr>
        <w:spacing w:line="240" w:lineRule="auto"/>
        <w:ind w:left="567"/>
        <w:jc w:val="both"/>
        <w:rPr>
          <w:color w:val="151515"/>
          <w:sz w:val="16"/>
          <w:szCs w:val="16"/>
        </w:rPr>
      </w:pPr>
      <w:r>
        <w:rPr>
          <w:b/>
          <w:bCs/>
          <w:color w:val="151515"/>
          <w:sz w:val="16"/>
          <w:szCs w:val="16"/>
        </w:rPr>
        <w:t>“Artículo 15</w:t>
      </w:r>
    </w:p>
    <w:p w14:paraId="36572878" w14:textId="77777777" w:rsidR="00D17B12" w:rsidRDefault="007526ED">
      <w:pPr>
        <w:spacing w:line="240" w:lineRule="auto"/>
        <w:ind w:left="567"/>
        <w:jc w:val="both"/>
        <w:rPr>
          <w:color w:val="151515"/>
          <w:sz w:val="16"/>
          <w:szCs w:val="16"/>
        </w:rPr>
      </w:pPr>
      <w:r>
        <w:rPr>
          <w:color w:val="151515"/>
          <w:sz w:val="16"/>
          <w:szCs w:val="16"/>
        </w:rPr>
        <w:t>1. Los Estados Partes en el presente Pacto reconocen el derecho de toda persona a:</w:t>
      </w:r>
    </w:p>
    <w:p w14:paraId="48B8417C" w14:textId="77777777" w:rsidR="00D17B12" w:rsidRDefault="007526ED">
      <w:pPr>
        <w:spacing w:line="240" w:lineRule="auto"/>
        <w:ind w:left="567"/>
        <w:jc w:val="both"/>
        <w:rPr>
          <w:color w:val="151515"/>
          <w:sz w:val="16"/>
          <w:szCs w:val="16"/>
        </w:rPr>
      </w:pPr>
      <w:r>
        <w:rPr>
          <w:color w:val="151515"/>
          <w:sz w:val="16"/>
          <w:szCs w:val="16"/>
        </w:rPr>
        <w:t>a) Participar en la vida cultural;</w:t>
      </w:r>
    </w:p>
    <w:p w14:paraId="5FB50D3C" w14:textId="77777777" w:rsidR="00D17B12" w:rsidRDefault="007526ED">
      <w:pPr>
        <w:spacing w:line="240" w:lineRule="auto"/>
        <w:ind w:left="567"/>
        <w:jc w:val="both"/>
        <w:rPr>
          <w:color w:val="151515"/>
          <w:sz w:val="16"/>
          <w:szCs w:val="16"/>
        </w:rPr>
      </w:pPr>
      <w:r>
        <w:rPr>
          <w:color w:val="151515"/>
          <w:sz w:val="16"/>
          <w:szCs w:val="16"/>
        </w:rPr>
        <w:t>(...)</w:t>
      </w:r>
    </w:p>
    <w:p w14:paraId="3FC992CF" w14:textId="77777777" w:rsidR="00D17B12" w:rsidRDefault="007526ED">
      <w:pPr>
        <w:spacing w:line="240" w:lineRule="auto"/>
        <w:ind w:left="567"/>
        <w:jc w:val="both"/>
        <w:rPr>
          <w:sz w:val="20"/>
          <w:szCs w:val="20"/>
        </w:rPr>
      </w:pPr>
      <w:r>
        <w:rPr>
          <w:color w:val="151515"/>
          <w:sz w:val="16"/>
          <w:szCs w:val="16"/>
        </w:rPr>
        <w:t>2. Entre las medidas que los Estados Partes en el presente Pacto deberán adoptar para asegurar el pleno ejercicio de este derecho, figuran las necesarias para la conservación, el desarrollo y la difusión de la ciencia y de la cultura.(...)”</w:t>
      </w:r>
    </w:p>
  </w:footnote>
  <w:footnote w:id="16">
    <w:p w14:paraId="3311EB23" w14:textId="77777777" w:rsidR="00D17B12" w:rsidRDefault="007526ED">
      <w:pPr>
        <w:spacing w:line="240" w:lineRule="auto"/>
        <w:ind w:left="567" w:hanging="567"/>
        <w:rPr>
          <w:sz w:val="20"/>
          <w:szCs w:val="20"/>
        </w:rPr>
      </w:pPr>
      <w:r>
        <w:rPr>
          <w:vertAlign w:val="superscript"/>
        </w:rPr>
        <w:footnoteRef/>
      </w:r>
      <w:r>
        <w:rPr>
          <w:sz w:val="20"/>
          <w:szCs w:val="20"/>
        </w:rPr>
        <w:t xml:space="preserve"> </w:t>
      </w:r>
      <w:r>
        <w:rPr>
          <w:sz w:val="20"/>
          <w:szCs w:val="20"/>
        </w:rPr>
        <w:tab/>
      </w:r>
      <w:r>
        <w:rPr>
          <w:color w:val="151515"/>
          <w:sz w:val="16"/>
          <w:szCs w:val="16"/>
        </w:rPr>
        <w:t>Política Nacional de Cultura al 2030 (2020). p. 45.</w:t>
      </w:r>
    </w:p>
  </w:footnote>
  <w:footnote w:id="17">
    <w:p w14:paraId="517672AF" w14:textId="77777777" w:rsidR="00D17B12" w:rsidRDefault="007526ED">
      <w:pPr>
        <w:spacing w:line="240" w:lineRule="auto"/>
        <w:ind w:left="567" w:hanging="567"/>
        <w:rPr>
          <w:sz w:val="20"/>
          <w:szCs w:val="20"/>
        </w:rPr>
      </w:pPr>
      <w:r>
        <w:rPr>
          <w:vertAlign w:val="superscript"/>
        </w:rPr>
        <w:footnoteRef/>
      </w:r>
      <w:r>
        <w:rPr>
          <w:sz w:val="20"/>
          <w:szCs w:val="20"/>
        </w:rPr>
        <w:t xml:space="preserve"> </w:t>
      </w:r>
      <w:r>
        <w:rPr>
          <w:sz w:val="20"/>
          <w:szCs w:val="20"/>
        </w:rPr>
        <w:tab/>
      </w:r>
      <w:r>
        <w:rPr>
          <w:color w:val="151515"/>
          <w:sz w:val="16"/>
          <w:szCs w:val="16"/>
        </w:rPr>
        <w:t>Política Nacional de Cultura al 2030 (2020). p. 52.</w:t>
      </w:r>
    </w:p>
  </w:footnote>
  <w:footnote w:id="18">
    <w:p w14:paraId="481A7CAA" w14:textId="77777777" w:rsidR="00D17B12" w:rsidRDefault="007526ED">
      <w:pPr>
        <w:spacing w:line="240" w:lineRule="auto"/>
        <w:ind w:left="567" w:hanging="567"/>
        <w:rPr>
          <w:sz w:val="20"/>
          <w:szCs w:val="20"/>
        </w:rPr>
      </w:pPr>
      <w:r>
        <w:rPr>
          <w:vertAlign w:val="superscript"/>
        </w:rPr>
        <w:footnoteRef/>
      </w:r>
      <w:r>
        <w:rPr>
          <w:sz w:val="20"/>
          <w:szCs w:val="20"/>
        </w:rPr>
        <w:t xml:space="preserve"> </w:t>
      </w:r>
      <w:r>
        <w:rPr>
          <w:sz w:val="20"/>
          <w:szCs w:val="20"/>
        </w:rPr>
        <w:tab/>
      </w:r>
      <w:r>
        <w:rPr>
          <w:color w:val="151515"/>
          <w:sz w:val="16"/>
          <w:szCs w:val="16"/>
        </w:rPr>
        <w:t>Política Nacional de Cultura al 2030 (2020). p. 69.</w:t>
      </w:r>
    </w:p>
  </w:footnote>
  <w:footnote w:id="19">
    <w:p w14:paraId="3B2D5E79" w14:textId="77777777" w:rsidR="00D17B12" w:rsidRDefault="007526ED">
      <w:pPr>
        <w:spacing w:line="240" w:lineRule="auto"/>
        <w:ind w:left="567" w:hanging="567"/>
        <w:rPr>
          <w:sz w:val="20"/>
          <w:szCs w:val="20"/>
        </w:rPr>
      </w:pPr>
      <w:r>
        <w:rPr>
          <w:vertAlign w:val="superscript"/>
        </w:rPr>
        <w:footnoteRef/>
      </w:r>
      <w:r>
        <w:rPr>
          <w:sz w:val="20"/>
          <w:szCs w:val="20"/>
        </w:rPr>
        <w:t xml:space="preserve"> </w:t>
      </w:r>
      <w:r>
        <w:rPr>
          <w:sz w:val="20"/>
          <w:szCs w:val="20"/>
        </w:rPr>
        <w:tab/>
      </w:r>
      <w:r>
        <w:rPr>
          <w:color w:val="151515"/>
          <w:sz w:val="16"/>
          <w:szCs w:val="16"/>
        </w:rPr>
        <w:t>Política Nacional de Cultura al 2030 (2020). p. 53 y siguientes.</w:t>
      </w:r>
    </w:p>
  </w:footnote>
  <w:footnote w:id="20">
    <w:p w14:paraId="568E2431" w14:textId="77777777" w:rsidR="00D17B12" w:rsidRDefault="007526ED">
      <w:pPr>
        <w:spacing w:line="240" w:lineRule="auto"/>
        <w:ind w:left="567" w:hanging="567"/>
        <w:jc w:val="both"/>
        <w:rPr>
          <w:sz w:val="20"/>
          <w:szCs w:val="20"/>
        </w:rPr>
      </w:pPr>
      <w:r>
        <w:rPr>
          <w:vertAlign w:val="superscript"/>
        </w:rPr>
        <w:footnoteRef/>
      </w:r>
      <w:r>
        <w:rPr>
          <w:sz w:val="20"/>
          <w:szCs w:val="20"/>
        </w:rPr>
        <w:t xml:space="preserve"> </w:t>
      </w:r>
      <w:r>
        <w:rPr>
          <w:sz w:val="20"/>
          <w:szCs w:val="20"/>
        </w:rPr>
        <w:tab/>
      </w:r>
      <w:r>
        <w:rPr>
          <w:color w:val="151515"/>
          <w:sz w:val="16"/>
          <w:szCs w:val="16"/>
        </w:rPr>
        <w:t>Al respecto el primer borrador del Informe Final de los EEC a cargo del Ministerio de Cultura, de fecha 05 de marzo de 2025, coincide en este punto citando la PNC, p. 10.</w:t>
      </w:r>
    </w:p>
  </w:footnote>
  <w:footnote w:id="21">
    <w:p w14:paraId="260F5CA5" w14:textId="77777777" w:rsidR="00D17B12" w:rsidRDefault="007526ED">
      <w:pPr>
        <w:spacing w:line="240" w:lineRule="auto"/>
        <w:ind w:left="567" w:hanging="567"/>
        <w:rPr>
          <w:sz w:val="20"/>
          <w:szCs w:val="20"/>
        </w:rPr>
      </w:pPr>
      <w:r>
        <w:rPr>
          <w:vertAlign w:val="superscript"/>
        </w:rPr>
        <w:footnoteRef/>
      </w:r>
      <w:r>
        <w:rPr>
          <w:sz w:val="20"/>
          <w:szCs w:val="20"/>
        </w:rPr>
        <w:t xml:space="preserve"> </w:t>
      </w:r>
      <w:r>
        <w:rPr>
          <w:sz w:val="20"/>
          <w:szCs w:val="20"/>
        </w:rPr>
        <w:tab/>
      </w:r>
      <w:r>
        <w:rPr>
          <w:color w:val="151515"/>
          <w:sz w:val="16"/>
          <w:szCs w:val="16"/>
        </w:rPr>
        <w:t>Política Nacional de Cultura al 2030 (2020). p. 53.</w:t>
      </w:r>
    </w:p>
  </w:footnote>
  <w:footnote w:id="22">
    <w:p w14:paraId="3661EE8C" w14:textId="77777777" w:rsidR="00D17B12" w:rsidRDefault="007526ED">
      <w:pPr>
        <w:spacing w:line="240" w:lineRule="auto"/>
        <w:ind w:left="567" w:hanging="567"/>
        <w:rPr>
          <w:sz w:val="20"/>
          <w:szCs w:val="20"/>
        </w:rPr>
      </w:pPr>
      <w:r>
        <w:rPr>
          <w:vertAlign w:val="superscript"/>
        </w:rPr>
        <w:footnoteRef/>
      </w:r>
      <w:r>
        <w:rPr>
          <w:sz w:val="20"/>
          <w:szCs w:val="20"/>
        </w:rPr>
        <w:t xml:space="preserve"> </w:t>
      </w:r>
      <w:r>
        <w:rPr>
          <w:sz w:val="20"/>
          <w:szCs w:val="20"/>
        </w:rPr>
        <w:tab/>
      </w:r>
      <w:r>
        <w:rPr>
          <w:color w:val="151515"/>
          <w:sz w:val="16"/>
          <w:szCs w:val="16"/>
        </w:rPr>
        <w:t>Política Nacional de Cultura al 2030 (2020). p. 30.</w:t>
      </w:r>
    </w:p>
  </w:footnote>
  <w:footnote w:id="23">
    <w:p w14:paraId="66094B12" w14:textId="77777777" w:rsidR="00D17B12" w:rsidRDefault="007526ED">
      <w:pPr>
        <w:spacing w:line="240" w:lineRule="auto"/>
        <w:ind w:left="567" w:hanging="567"/>
        <w:jc w:val="both"/>
        <w:rPr>
          <w:sz w:val="20"/>
          <w:szCs w:val="20"/>
        </w:rPr>
      </w:pPr>
      <w:r>
        <w:rPr>
          <w:vertAlign w:val="superscript"/>
        </w:rPr>
        <w:footnoteRef/>
      </w:r>
      <w:r>
        <w:rPr>
          <w:sz w:val="20"/>
          <w:szCs w:val="20"/>
        </w:rPr>
        <w:t xml:space="preserve"> </w:t>
      </w:r>
      <w:r>
        <w:rPr>
          <w:sz w:val="20"/>
          <w:szCs w:val="20"/>
        </w:rPr>
        <w:tab/>
      </w:r>
      <w:r>
        <w:rPr>
          <w:color w:val="151515"/>
          <w:sz w:val="16"/>
          <w:szCs w:val="16"/>
        </w:rPr>
        <w:t>Naciones Unidas. Consejo de Derechos Humanos 2022, párr. 9.</w:t>
      </w:r>
    </w:p>
  </w:footnote>
  <w:footnote w:id="24">
    <w:p w14:paraId="0D91E60E" w14:textId="77777777" w:rsidR="00D17B12" w:rsidRDefault="007526ED">
      <w:pPr>
        <w:spacing w:line="240" w:lineRule="auto"/>
        <w:ind w:left="567" w:hanging="567"/>
        <w:rPr>
          <w:sz w:val="20"/>
          <w:szCs w:val="20"/>
        </w:rPr>
      </w:pPr>
      <w:r>
        <w:rPr>
          <w:vertAlign w:val="superscript"/>
        </w:rPr>
        <w:footnoteRef/>
      </w:r>
      <w:r>
        <w:rPr>
          <w:sz w:val="20"/>
          <w:szCs w:val="20"/>
        </w:rPr>
        <w:t xml:space="preserve"> </w:t>
      </w:r>
      <w:r>
        <w:rPr>
          <w:sz w:val="20"/>
          <w:szCs w:val="20"/>
        </w:rPr>
        <w:tab/>
      </w:r>
      <w:r>
        <w:rPr>
          <w:color w:val="151515"/>
          <w:sz w:val="16"/>
          <w:szCs w:val="16"/>
        </w:rPr>
        <w:t>INFORME MUNDIAL DE LA UNESCO SOBRE POLÍTICAS CULTURALES. La cultura: el ODS ausente (2025), p. 45.</w:t>
      </w:r>
    </w:p>
  </w:footnote>
  <w:footnote w:id="25">
    <w:p w14:paraId="31336BDF" w14:textId="77777777" w:rsidR="00D17B12" w:rsidRDefault="007526ED">
      <w:pPr>
        <w:shd w:val="clear" w:color="auto" w:fill="FFFFFF"/>
        <w:spacing w:line="240" w:lineRule="auto"/>
        <w:ind w:left="567" w:hanging="567"/>
        <w:jc w:val="both"/>
      </w:pPr>
      <w:r>
        <w:rPr>
          <w:vertAlign w:val="superscript"/>
        </w:rPr>
        <w:footnoteRef/>
      </w:r>
      <w:r>
        <w:rPr>
          <w:sz w:val="20"/>
          <w:szCs w:val="20"/>
        </w:rPr>
        <w:t xml:space="preserve"> </w:t>
      </w:r>
      <w:r>
        <w:rPr>
          <w:sz w:val="20"/>
          <w:szCs w:val="20"/>
        </w:rPr>
        <w:tab/>
      </w:r>
      <w:r>
        <w:rPr>
          <w:color w:val="151515"/>
          <w:sz w:val="16"/>
          <w:szCs w:val="16"/>
        </w:rPr>
        <w:t>Programa de las Naciones Unidas para el Desarrollo. Los Objetivos de Desarrollo Sostenible (ODS), también conocidos como Objetivos Globales, fueron adoptados por las Naciones Unidas en 2015 como un llamamiento universal para poner fin a la pobreza, proteger el planeta y garantizar que para el 2030 todas las personas disfruten de paz y prosperidad. Los 17 ODS están integrados: reconocen que la acción en un área afectará los resultados en otras áreas y que el desarrollo debe equilibrar la sostenibilidad social, económica y ambiental. Los países se han comprometido a priorizar el progreso de los más rezagados. La creatividad, el conocimiento, la tecnología y los recursos financieros de toda la sociedad son necesarios para alcanzar los ODS en todos los contextos.</w:t>
      </w:r>
    </w:p>
  </w:footnote>
  <w:footnote w:id="26">
    <w:p w14:paraId="1CBE1A1D" w14:textId="77777777" w:rsidR="00D17B12" w:rsidRDefault="007526ED">
      <w:pPr>
        <w:spacing w:line="240" w:lineRule="auto"/>
        <w:ind w:left="567" w:hanging="567"/>
        <w:rPr>
          <w:sz w:val="20"/>
          <w:szCs w:val="20"/>
        </w:rPr>
      </w:pPr>
      <w:r>
        <w:rPr>
          <w:vertAlign w:val="superscript"/>
        </w:rPr>
        <w:footnoteRef/>
      </w:r>
      <w:r>
        <w:rPr>
          <w:sz w:val="20"/>
          <w:szCs w:val="20"/>
        </w:rPr>
        <w:t xml:space="preserve"> </w:t>
      </w:r>
      <w:r>
        <w:rPr>
          <w:sz w:val="20"/>
          <w:szCs w:val="20"/>
        </w:rPr>
        <w:tab/>
      </w:r>
      <w:r>
        <w:rPr>
          <w:color w:val="151515"/>
          <w:sz w:val="16"/>
          <w:szCs w:val="16"/>
        </w:rPr>
        <w:t>Naciones Unidas. Asamblea General y Consejo Económico y Social 2023, párr. 56.</w:t>
      </w:r>
    </w:p>
  </w:footnote>
  <w:footnote w:id="27">
    <w:p w14:paraId="43FC84AE" w14:textId="77777777" w:rsidR="00D17B12" w:rsidRDefault="007526ED">
      <w:pPr>
        <w:spacing w:line="240" w:lineRule="auto"/>
        <w:ind w:left="567" w:hanging="567"/>
        <w:rPr>
          <w:sz w:val="20"/>
          <w:szCs w:val="20"/>
        </w:rPr>
      </w:pPr>
      <w:r>
        <w:rPr>
          <w:vertAlign w:val="superscript"/>
        </w:rPr>
        <w:footnoteRef/>
      </w:r>
      <w:r>
        <w:rPr>
          <w:sz w:val="20"/>
          <w:szCs w:val="20"/>
        </w:rPr>
        <w:t xml:space="preserve"> </w:t>
      </w:r>
      <w:r>
        <w:rPr>
          <w:sz w:val="20"/>
          <w:szCs w:val="20"/>
        </w:rPr>
        <w:tab/>
      </w:r>
      <w:r>
        <w:rPr>
          <w:color w:val="151515"/>
          <w:sz w:val="16"/>
          <w:szCs w:val="16"/>
        </w:rPr>
        <w:t>Política Nacional de Cultura al 2030 (2020). p. 62.</w:t>
      </w:r>
    </w:p>
  </w:footnote>
  <w:footnote w:id="28">
    <w:p w14:paraId="497ADF40" w14:textId="77777777" w:rsidR="00D17B12" w:rsidRDefault="007526ED">
      <w:pPr>
        <w:spacing w:line="240" w:lineRule="auto"/>
        <w:ind w:left="567" w:hanging="567"/>
        <w:rPr>
          <w:sz w:val="20"/>
          <w:szCs w:val="20"/>
        </w:rPr>
      </w:pPr>
      <w:r>
        <w:rPr>
          <w:vertAlign w:val="superscript"/>
        </w:rPr>
        <w:footnoteRef/>
      </w:r>
      <w:r>
        <w:rPr>
          <w:sz w:val="20"/>
          <w:szCs w:val="20"/>
        </w:rPr>
        <w:t xml:space="preserve"> </w:t>
      </w:r>
      <w:r>
        <w:rPr>
          <w:sz w:val="20"/>
          <w:szCs w:val="20"/>
        </w:rPr>
        <w:tab/>
      </w:r>
      <w:r>
        <w:rPr>
          <w:color w:val="151515"/>
          <w:sz w:val="16"/>
          <w:szCs w:val="16"/>
        </w:rPr>
        <w:t>Política Nacional de Cultura al 2030 (2020). p. 126.</w:t>
      </w:r>
    </w:p>
  </w:footnote>
  <w:footnote w:id="29">
    <w:p w14:paraId="09D38480" w14:textId="77777777" w:rsidR="00D17B12" w:rsidRDefault="007526ED">
      <w:pPr>
        <w:spacing w:line="240" w:lineRule="auto"/>
        <w:ind w:left="567" w:hanging="567"/>
        <w:jc w:val="both"/>
        <w:rPr>
          <w:sz w:val="20"/>
          <w:szCs w:val="20"/>
        </w:rPr>
      </w:pPr>
      <w:r>
        <w:rPr>
          <w:vertAlign w:val="superscript"/>
        </w:rPr>
        <w:footnoteRef/>
      </w:r>
      <w:r>
        <w:rPr>
          <w:sz w:val="20"/>
          <w:szCs w:val="20"/>
        </w:rPr>
        <w:t xml:space="preserve"> </w:t>
      </w:r>
      <w:r>
        <w:rPr>
          <w:sz w:val="20"/>
          <w:szCs w:val="20"/>
        </w:rPr>
        <w:tab/>
      </w:r>
      <w:r>
        <w:rPr>
          <w:color w:val="151515"/>
          <w:sz w:val="16"/>
          <w:szCs w:val="16"/>
        </w:rPr>
        <w:t>Con relación al presupuesto otorgado a los estímulos económicos, el primer borrador del Informe Final de los EEC a cargo del Ministerio de Cultura, de fecha 05 de marzo de 2025, señala lo siguiente en su página 7: “Entre los años 2012 y 2024, se otorgó un presupuesto total de S/. 221 866 400; de esta cantidad, S/. 175 374 200 (79% del total) corresponden al periodo 2018-2024. El gráfico muestra que entre los años 2012 y 2017, el presupuesto anual destinado a los EEC se mantuvo en una cifra que oscilaba alrededor de los 7.5 millones de soles. Un aumento considerable tuvo lugar en el año 2018, donde el presupuesto llegó a ser de 20 millones de soles y se mantuvo alrededor de esa cifra en los siguientes dos años. Un nuevo aumento tuvo lugar en el año 2021, en el cual el presupuesto total fue de 26.4 millones de soles, el mismo que en los siguientes años ha venido creciendo 5.3 puntos porcentuales en promedio”.</w:t>
      </w:r>
    </w:p>
  </w:footnote>
  <w:footnote w:id="30">
    <w:p w14:paraId="128EEBB5" w14:textId="77777777" w:rsidR="00D17B12" w:rsidRDefault="007526ED">
      <w:pPr>
        <w:spacing w:line="240" w:lineRule="auto"/>
        <w:ind w:left="567" w:hanging="567"/>
        <w:jc w:val="both"/>
        <w:rPr>
          <w:color w:val="151515"/>
          <w:sz w:val="16"/>
          <w:szCs w:val="16"/>
        </w:rPr>
      </w:pPr>
      <w:r>
        <w:rPr>
          <w:vertAlign w:val="superscript"/>
        </w:rPr>
        <w:footnoteRef/>
      </w:r>
      <w:r>
        <w:rPr>
          <w:sz w:val="20"/>
          <w:szCs w:val="20"/>
        </w:rPr>
        <w:t xml:space="preserve"> </w:t>
      </w:r>
      <w:r>
        <w:rPr>
          <w:sz w:val="20"/>
          <w:szCs w:val="20"/>
        </w:rPr>
        <w:tab/>
      </w:r>
      <w:r>
        <w:rPr>
          <w:color w:val="151515"/>
          <w:sz w:val="16"/>
          <w:szCs w:val="16"/>
        </w:rPr>
        <w:t>Aunque “el apoyo estatal al cine en el Perú se remonta a la década de 1940, y el financiamiento estatal a proyectos de cine y/o audiovisual tiene aproximadamente tres décadas”, conforme lo precisa el documento titulado “Evaluación del Diseño y Procesos del Programa de Estímulos Económicos a la Cultura dirigidos al Cine y el Audiovisual, 2018-2024” a cargo de la Unidad Funcional de Estudios Económicos del Ministerio de Cultura (primer borrador, febrero 2025), p. 6.</w:t>
      </w:r>
    </w:p>
  </w:footnote>
  <w:footnote w:id="31">
    <w:p w14:paraId="0FF543FE" w14:textId="77777777" w:rsidR="00D17B12" w:rsidRDefault="007526ED">
      <w:pPr>
        <w:spacing w:line="240" w:lineRule="auto"/>
        <w:ind w:left="567" w:hanging="567"/>
        <w:jc w:val="both"/>
        <w:rPr>
          <w:sz w:val="20"/>
          <w:szCs w:val="20"/>
        </w:rPr>
      </w:pPr>
      <w:r>
        <w:rPr>
          <w:vertAlign w:val="superscript"/>
        </w:rPr>
        <w:footnoteRef/>
      </w:r>
      <w:r>
        <w:rPr>
          <w:sz w:val="20"/>
          <w:szCs w:val="20"/>
        </w:rPr>
        <w:t xml:space="preserve"> </w:t>
      </w:r>
      <w:r>
        <w:rPr>
          <w:sz w:val="20"/>
          <w:szCs w:val="20"/>
        </w:rPr>
        <w:tab/>
      </w:r>
      <w:r>
        <w:rPr>
          <w:color w:val="151515"/>
          <w:sz w:val="16"/>
          <w:szCs w:val="16"/>
        </w:rPr>
        <w:t>Plan de estímulos económicos para el fomento de la actividad cinematográfica y audiovisual 2020, aprobado mediante Resolución Ministerial N.° 000136-2025-MC. p. 4.</w:t>
      </w:r>
    </w:p>
  </w:footnote>
  <w:footnote w:id="32">
    <w:p w14:paraId="4F3E1474" w14:textId="77777777" w:rsidR="00D17B12" w:rsidRDefault="007526ED">
      <w:pPr>
        <w:spacing w:line="240" w:lineRule="auto"/>
        <w:ind w:left="567" w:hanging="567"/>
        <w:rPr>
          <w:sz w:val="20"/>
          <w:szCs w:val="20"/>
        </w:rPr>
      </w:pPr>
      <w:r>
        <w:rPr>
          <w:vertAlign w:val="superscript"/>
        </w:rPr>
        <w:footnoteRef/>
      </w:r>
      <w:r>
        <w:rPr>
          <w:sz w:val="20"/>
          <w:szCs w:val="20"/>
        </w:rPr>
        <w:t xml:space="preserve"> </w:t>
      </w:r>
      <w:r>
        <w:rPr>
          <w:sz w:val="20"/>
          <w:szCs w:val="20"/>
        </w:rPr>
        <w:tab/>
      </w:r>
      <w:r>
        <w:rPr>
          <w:color w:val="151515"/>
          <w:sz w:val="16"/>
          <w:szCs w:val="16"/>
        </w:rPr>
        <w:t>Plan de estímulos económicos para el fomento de la actividad cinematográfica y audiovisual 2020, aprobado mediante Resolución Ministerial N.° 000136-2025-MC. p. 15.</w:t>
      </w:r>
    </w:p>
  </w:footnote>
  <w:footnote w:id="33">
    <w:p w14:paraId="1BA3944A" w14:textId="77777777" w:rsidR="00D17B12" w:rsidRDefault="007526ED">
      <w:pPr>
        <w:spacing w:line="240" w:lineRule="auto"/>
        <w:ind w:left="567" w:hanging="567"/>
        <w:rPr>
          <w:sz w:val="20"/>
          <w:szCs w:val="20"/>
        </w:rPr>
      </w:pPr>
      <w:r>
        <w:rPr>
          <w:vertAlign w:val="superscript"/>
        </w:rPr>
        <w:footnoteRef/>
      </w:r>
      <w:r>
        <w:rPr>
          <w:sz w:val="20"/>
          <w:szCs w:val="20"/>
        </w:rPr>
        <w:t xml:space="preserve"> </w:t>
      </w:r>
      <w:r>
        <w:rPr>
          <w:sz w:val="20"/>
          <w:szCs w:val="20"/>
        </w:rPr>
        <w:tab/>
      </w:r>
      <w:r>
        <w:rPr>
          <w:color w:val="151515"/>
          <w:sz w:val="16"/>
          <w:szCs w:val="16"/>
        </w:rPr>
        <w:t>Plan de estímulos económicos para el fomento de la actividad cinematográfica y audiovisual 2020, aprobado mediante Resolución Ministerial N.° 000136-2025-MC. p. 15.</w:t>
      </w:r>
    </w:p>
  </w:footnote>
  <w:footnote w:id="34">
    <w:p w14:paraId="6D7C8ECE" w14:textId="77777777" w:rsidR="00D17B12" w:rsidRDefault="007526ED">
      <w:pPr>
        <w:spacing w:line="240" w:lineRule="auto"/>
        <w:ind w:left="567" w:hanging="567"/>
        <w:rPr>
          <w:sz w:val="20"/>
          <w:szCs w:val="20"/>
        </w:rPr>
      </w:pPr>
      <w:r>
        <w:rPr>
          <w:vertAlign w:val="superscript"/>
        </w:rPr>
        <w:footnoteRef/>
      </w:r>
      <w:r>
        <w:rPr>
          <w:sz w:val="20"/>
          <w:szCs w:val="20"/>
        </w:rPr>
        <w:t xml:space="preserve"> </w:t>
      </w:r>
      <w:r>
        <w:rPr>
          <w:sz w:val="20"/>
          <w:szCs w:val="20"/>
        </w:rPr>
        <w:tab/>
      </w:r>
      <w:r>
        <w:rPr>
          <w:color w:val="151515"/>
          <w:sz w:val="16"/>
          <w:szCs w:val="16"/>
        </w:rPr>
        <w:t>Plan de estímulos económicos para el fomento de la actividad cinematográfica y audiovisual 2020, aprobado mediante Resolución Ministerial N.° 000136-2025-MC. p. 16.</w:t>
      </w:r>
    </w:p>
  </w:footnote>
  <w:footnote w:id="35">
    <w:p w14:paraId="5E7F7051" w14:textId="77777777" w:rsidR="00D17B12" w:rsidRDefault="007526ED">
      <w:pPr>
        <w:tabs>
          <w:tab w:val="left" w:pos="0"/>
        </w:tabs>
        <w:spacing w:line="240" w:lineRule="auto"/>
        <w:ind w:left="567" w:hanging="567"/>
        <w:jc w:val="both"/>
        <w:rPr>
          <w:sz w:val="16"/>
          <w:szCs w:val="16"/>
        </w:rPr>
      </w:pPr>
      <w:r>
        <w:rPr>
          <w:vertAlign w:val="superscript"/>
        </w:rPr>
        <w:footnoteRef/>
      </w:r>
      <w:r>
        <w:rPr>
          <w:sz w:val="16"/>
          <w:szCs w:val="16"/>
        </w:rPr>
        <w:t xml:space="preserve"> </w:t>
      </w:r>
      <w:r>
        <w:rPr>
          <w:sz w:val="16"/>
          <w:szCs w:val="16"/>
        </w:rPr>
        <w:tab/>
        <w:t xml:space="preserve">Elaborado por Entidad de Gestión de Derechos de los Productores Audiovisuales (EGEDA) y la Federación Iberoamericana de Producción Cinematográfica y Audiovisual (FIPCA), p. 329. Recuperado de </w:t>
      </w:r>
      <w:hyperlink r:id="rId1">
        <w:r>
          <w:rPr>
            <w:color w:val="0563C1"/>
            <w:sz w:val="16"/>
            <w:szCs w:val="16"/>
            <w:u w:val="single"/>
          </w:rPr>
          <w:t>https://institutoautor.org/america-latina-egeda-y-fipca-publican-un-informe-sobre-el-panorama-audiovisual-iberoamericano/</w:t>
        </w:r>
      </w:hyperlink>
      <w:r>
        <w:rPr>
          <w:sz w:val="16"/>
          <w:szCs w:val="16"/>
        </w:rPr>
        <w:t xml:space="preserve"> </w:t>
      </w:r>
    </w:p>
  </w:footnote>
  <w:footnote w:id="36">
    <w:p w14:paraId="5A04BA73" w14:textId="77777777" w:rsidR="00D17B12" w:rsidRDefault="007526ED">
      <w:pPr>
        <w:tabs>
          <w:tab w:val="left" w:pos="284"/>
        </w:tabs>
        <w:spacing w:line="240" w:lineRule="auto"/>
        <w:ind w:left="567" w:hanging="567"/>
        <w:jc w:val="both"/>
        <w:rPr>
          <w:sz w:val="16"/>
          <w:szCs w:val="16"/>
        </w:rPr>
      </w:pPr>
      <w:r>
        <w:rPr>
          <w:vertAlign w:val="superscript"/>
        </w:rPr>
        <w:footnoteRef/>
      </w:r>
      <w:r>
        <w:rPr>
          <w:sz w:val="16"/>
          <w:szCs w:val="16"/>
        </w:rPr>
        <w:t xml:space="preserve"> </w:t>
      </w:r>
      <w:r>
        <w:rPr>
          <w:sz w:val="16"/>
          <w:szCs w:val="16"/>
        </w:rPr>
        <w:tab/>
      </w:r>
      <w:r>
        <w:rPr>
          <w:sz w:val="16"/>
          <w:szCs w:val="16"/>
        </w:rPr>
        <w:tab/>
        <w:t xml:space="preserve">Elaborado por Entidad de Gestión de Derechos de los Productores Audiovisuales (EGEDA) y la Federación Iberoamericana de Producción Cinematográfica y Audiovisual (FIPCA), p. 329. Recuperado de </w:t>
      </w:r>
      <w:hyperlink r:id="rId2">
        <w:r>
          <w:rPr>
            <w:color w:val="0563C1"/>
            <w:sz w:val="16"/>
            <w:szCs w:val="16"/>
            <w:u w:val="single"/>
          </w:rPr>
          <w:t>https://institutoautor.org/america-latina-egeda-y-fipca-publican-un-informe-sobre-el-panorama-audiovisual-iberoamericano/</w:t>
        </w:r>
      </w:hyperlink>
      <w:r>
        <w:rPr>
          <w:sz w:val="16"/>
          <w:szCs w:val="16"/>
        </w:rPr>
        <w:t xml:space="preserve"> </w:t>
      </w:r>
    </w:p>
  </w:footnote>
  <w:footnote w:id="37">
    <w:p w14:paraId="0271C49E" w14:textId="77777777" w:rsidR="00D17B12" w:rsidRDefault="007526ED">
      <w:pPr>
        <w:spacing w:line="240" w:lineRule="auto"/>
        <w:ind w:left="567" w:hanging="567"/>
        <w:jc w:val="both"/>
        <w:rPr>
          <w:sz w:val="20"/>
          <w:szCs w:val="20"/>
        </w:rPr>
      </w:pPr>
      <w:r>
        <w:rPr>
          <w:vertAlign w:val="superscript"/>
        </w:rPr>
        <w:footnoteRef/>
      </w:r>
      <w:r>
        <w:rPr>
          <w:sz w:val="16"/>
          <w:szCs w:val="16"/>
        </w:rPr>
        <w:t xml:space="preserve"> </w:t>
      </w:r>
      <w:r>
        <w:rPr>
          <w:sz w:val="16"/>
          <w:szCs w:val="16"/>
        </w:rPr>
        <w:tab/>
        <w:t>UNESCO. (2022). Promover las políticas y la cooperación para la creatividad: guía de aprendizaje entre pares. Para mayor información, véase en:</w:t>
      </w:r>
      <w:r>
        <w:rPr>
          <w:sz w:val="16"/>
          <w:szCs w:val="16"/>
        </w:rPr>
        <w:tab/>
        <w:t xml:space="preserve"> </w:t>
      </w:r>
      <w:hyperlink r:id="rId3">
        <w:r>
          <w:rPr>
            <w:color w:val="1155CC"/>
            <w:sz w:val="16"/>
            <w:szCs w:val="16"/>
            <w:u w:val="single"/>
          </w:rPr>
          <w:t>https://www.unesco.org/creativity/sites/default/files/medias/fichiers/2023/01/brochure-</w:t>
        </w:r>
      </w:hyperlink>
      <w:r>
        <w:rPr>
          <w:sz w:val="16"/>
          <w:szCs w:val="16"/>
        </w:rPr>
        <w:t xml:space="preserve">peer-to-peer-toolkit-sp-web%20%281%29.pdf </w:t>
      </w:r>
    </w:p>
    <w:p w14:paraId="61909805" w14:textId="77777777" w:rsidR="00D17B12" w:rsidRDefault="00D17B12">
      <w:pPr>
        <w:spacing w:line="240" w:lineRule="auto"/>
        <w:rPr>
          <w:sz w:val="20"/>
          <w:szCs w:val="20"/>
        </w:rPr>
      </w:pPr>
    </w:p>
  </w:footnote>
  <w:footnote w:id="38">
    <w:p w14:paraId="0324E19F" w14:textId="77777777" w:rsidR="00D17B12" w:rsidRDefault="007526ED">
      <w:pPr>
        <w:spacing w:line="240" w:lineRule="auto"/>
        <w:ind w:left="567" w:hanging="567"/>
        <w:jc w:val="both"/>
        <w:rPr>
          <w:sz w:val="16"/>
          <w:szCs w:val="16"/>
        </w:rPr>
      </w:pPr>
      <w:r>
        <w:rPr>
          <w:vertAlign w:val="superscript"/>
        </w:rPr>
        <w:footnoteRef/>
      </w:r>
      <w:r>
        <w:rPr>
          <w:sz w:val="16"/>
          <w:szCs w:val="16"/>
        </w:rPr>
        <w:t xml:space="preserve"> </w:t>
      </w:r>
      <w:r>
        <w:rPr>
          <w:sz w:val="16"/>
          <w:szCs w:val="16"/>
        </w:rPr>
        <w:tab/>
        <w:t xml:space="preserve">Elaborado por Entidad de Gestión de Derechos de los Productores Audiovisuales (EGEDA) y la Federación Iberoamericana de Producción Cinematográfica y Audiovisual (FIPCA). Recuperado de </w:t>
      </w:r>
      <w:hyperlink r:id="rId4">
        <w:r>
          <w:rPr>
            <w:color w:val="0563C1"/>
            <w:sz w:val="16"/>
            <w:szCs w:val="16"/>
            <w:u w:val="single"/>
          </w:rPr>
          <w:t>https://institutoautor.org/america-latina-egeda-y-fipca-publican-un-informe-sobre-el-panorama-audiovisual-iberoamericano/</w:t>
        </w:r>
      </w:hyperlink>
      <w:r>
        <w:rPr>
          <w:sz w:val="16"/>
          <w:szCs w:val="16"/>
        </w:rPr>
        <w:t xml:space="preserve"> </w:t>
      </w:r>
    </w:p>
  </w:footnote>
  <w:footnote w:id="39">
    <w:p w14:paraId="38F04729" w14:textId="77777777" w:rsidR="00D17B12" w:rsidRDefault="007526ED">
      <w:pPr>
        <w:spacing w:line="240" w:lineRule="auto"/>
        <w:ind w:left="567" w:hanging="567"/>
        <w:jc w:val="both"/>
        <w:rPr>
          <w:sz w:val="16"/>
          <w:szCs w:val="16"/>
        </w:rPr>
      </w:pPr>
      <w:r>
        <w:rPr>
          <w:vertAlign w:val="superscript"/>
        </w:rPr>
        <w:footnoteRef/>
      </w:r>
      <w:r>
        <w:rPr>
          <w:sz w:val="16"/>
          <w:szCs w:val="16"/>
        </w:rPr>
        <w:t xml:space="preserve"> </w:t>
      </w:r>
      <w:r>
        <w:rPr>
          <w:sz w:val="16"/>
          <w:szCs w:val="16"/>
        </w:rPr>
        <w:tab/>
      </w:r>
      <w:r>
        <w:rPr>
          <w:i/>
          <w:iCs/>
          <w:sz w:val="16"/>
          <w:szCs w:val="16"/>
        </w:rPr>
        <w:t>Cfr.</w:t>
      </w:r>
      <w:r>
        <w:rPr>
          <w:sz w:val="16"/>
          <w:szCs w:val="16"/>
        </w:rPr>
        <w:t xml:space="preserve"> </w:t>
      </w:r>
      <w:r>
        <w:rPr>
          <w:smallCaps/>
          <w:sz w:val="16"/>
          <w:szCs w:val="16"/>
        </w:rPr>
        <w:t>Ariño Ortiz</w:t>
      </w:r>
      <w:r>
        <w:rPr>
          <w:sz w:val="16"/>
          <w:szCs w:val="16"/>
        </w:rPr>
        <w:t xml:space="preserve">, G., </w:t>
      </w:r>
      <w:r>
        <w:rPr>
          <w:i/>
          <w:iCs/>
          <w:sz w:val="16"/>
          <w:szCs w:val="16"/>
        </w:rPr>
        <w:t xml:space="preserve">Principios de Derecho público económico, </w:t>
      </w:r>
      <w:r>
        <w:rPr>
          <w:sz w:val="16"/>
          <w:szCs w:val="16"/>
        </w:rPr>
        <w:t xml:space="preserve">Universidad Externado de Colombia, Bogotá, 2003, p.339. </w:t>
      </w:r>
    </w:p>
  </w:footnote>
  <w:footnote w:id="40">
    <w:p w14:paraId="74E6C4CA" w14:textId="77777777" w:rsidR="00D17B12" w:rsidRDefault="007526ED">
      <w:pPr>
        <w:spacing w:line="240" w:lineRule="auto"/>
        <w:ind w:left="567" w:hanging="567"/>
        <w:rPr>
          <w:sz w:val="16"/>
          <w:szCs w:val="16"/>
        </w:rPr>
      </w:pPr>
      <w:r>
        <w:rPr>
          <w:vertAlign w:val="superscript"/>
        </w:rPr>
        <w:footnoteRef/>
      </w:r>
      <w:r>
        <w:rPr>
          <w:sz w:val="16"/>
          <w:szCs w:val="16"/>
        </w:rPr>
        <w:t xml:space="preserve"> </w:t>
      </w:r>
      <w:r>
        <w:rPr>
          <w:sz w:val="16"/>
          <w:szCs w:val="16"/>
        </w:rPr>
        <w:tab/>
        <w:t>Íbid.</w:t>
      </w:r>
    </w:p>
  </w:footnote>
  <w:footnote w:id="41">
    <w:p w14:paraId="54186282" w14:textId="77777777" w:rsidR="00D17B12" w:rsidRDefault="007526ED">
      <w:pPr>
        <w:spacing w:line="240" w:lineRule="auto"/>
        <w:ind w:left="567" w:hanging="567"/>
        <w:jc w:val="both"/>
        <w:rPr>
          <w:sz w:val="16"/>
          <w:szCs w:val="16"/>
        </w:rPr>
      </w:pPr>
      <w:r>
        <w:rPr>
          <w:vertAlign w:val="superscript"/>
        </w:rPr>
        <w:footnoteRef/>
      </w:r>
      <w:r>
        <w:rPr>
          <w:sz w:val="16"/>
          <w:szCs w:val="16"/>
        </w:rPr>
        <w:t xml:space="preserve"> </w:t>
      </w:r>
      <w:r>
        <w:rPr>
          <w:sz w:val="16"/>
          <w:szCs w:val="16"/>
        </w:rPr>
        <w:tab/>
      </w:r>
      <w:r>
        <w:rPr>
          <w:i/>
          <w:iCs/>
          <w:sz w:val="16"/>
          <w:szCs w:val="16"/>
        </w:rPr>
        <w:t>Cfr.</w:t>
      </w:r>
      <w:r>
        <w:rPr>
          <w:sz w:val="16"/>
          <w:szCs w:val="16"/>
        </w:rPr>
        <w:t xml:space="preserve"> </w:t>
      </w:r>
      <w:r>
        <w:rPr>
          <w:smallCaps/>
          <w:sz w:val="16"/>
          <w:szCs w:val="16"/>
        </w:rPr>
        <w:t>Chang Chuyes</w:t>
      </w:r>
      <w:r>
        <w:rPr>
          <w:sz w:val="16"/>
          <w:szCs w:val="16"/>
        </w:rPr>
        <w:t xml:space="preserve">, G., “El principio de proporcionalidad como canon hermenéutico de los incentivos”, en </w:t>
      </w:r>
      <w:r>
        <w:rPr>
          <w:smallCaps/>
          <w:sz w:val="16"/>
          <w:szCs w:val="16"/>
        </w:rPr>
        <w:t>Gamero Casado, E. &amp; Alarcón Sotomayor</w:t>
      </w:r>
      <w:r>
        <w:rPr>
          <w:sz w:val="16"/>
          <w:szCs w:val="16"/>
        </w:rPr>
        <w:t xml:space="preserve"> (Coord.), L, </w:t>
      </w:r>
      <w:r>
        <w:rPr>
          <w:i/>
          <w:iCs/>
          <w:sz w:val="16"/>
          <w:szCs w:val="16"/>
        </w:rPr>
        <w:t xml:space="preserve">20 años de la Ley general de subvenciones, </w:t>
      </w:r>
      <w:r>
        <w:rPr>
          <w:sz w:val="16"/>
          <w:szCs w:val="16"/>
        </w:rPr>
        <w:t xml:space="preserve">INAP, MAdrid, 2023, p. 568 y ss. </w:t>
      </w:r>
    </w:p>
  </w:footnote>
  <w:footnote w:id="42">
    <w:p w14:paraId="4687E912" w14:textId="77777777" w:rsidR="00D17B12" w:rsidRDefault="007526ED">
      <w:pPr>
        <w:spacing w:line="240" w:lineRule="auto"/>
        <w:ind w:left="567" w:hanging="567"/>
        <w:jc w:val="both"/>
        <w:rPr>
          <w:sz w:val="20"/>
          <w:szCs w:val="20"/>
        </w:rPr>
      </w:pPr>
      <w:r>
        <w:rPr>
          <w:vertAlign w:val="superscript"/>
        </w:rPr>
        <w:footnoteRef/>
      </w:r>
      <w:r>
        <w:rPr>
          <w:sz w:val="20"/>
          <w:szCs w:val="20"/>
        </w:rPr>
        <w:t xml:space="preserve"> </w:t>
      </w:r>
      <w:r>
        <w:rPr>
          <w:sz w:val="20"/>
          <w:szCs w:val="20"/>
        </w:rPr>
        <w:tab/>
      </w:r>
      <w:r>
        <w:rPr>
          <w:smallCaps/>
          <w:sz w:val="16"/>
          <w:szCs w:val="16"/>
        </w:rPr>
        <w:t>Morón Urbina, Juan Carlos.</w:t>
      </w:r>
      <w:r>
        <w:rPr>
          <w:sz w:val="16"/>
          <w:szCs w:val="16"/>
        </w:rPr>
        <w:t xml:space="preserve"> "Comentarios a la Ley del Procedimiento Administrativo General" (2011) Gaceta Jurídica: Novena edición. Pág. 58</w:t>
      </w:r>
    </w:p>
  </w:footnote>
  <w:footnote w:id="43">
    <w:p w14:paraId="67053B31" w14:textId="77777777" w:rsidR="00D17B12" w:rsidRDefault="007526ED">
      <w:pPr>
        <w:spacing w:line="240" w:lineRule="auto"/>
        <w:ind w:left="567" w:hanging="567"/>
        <w:rPr>
          <w:sz w:val="16"/>
          <w:szCs w:val="16"/>
        </w:rPr>
      </w:pPr>
      <w:r>
        <w:rPr>
          <w:vertAlign w:val="superscript"/>
        </w:rPr>
        <w:footnoteRef/>
      </w:r>
      <w:r>
        <w:rPr>
          <w:sz w:val="16"/>
          <w:szCs w:val="16"/>
        </w:rPr>
        <w:t xml:space="preserve"> </w:t>
      </w:r>
      <w:r>
        <w:rPr>
          <w:sz w:val="16"/>
          <w:szCs w:val="16"/>
        </w:rPr>
        <w:tab/>
      </w:r>
      <w:r>
        <w:rPr>
          <w:smallCaps/>
          <w:sz w:val="16"/>
          <w:szCs w:val="16"/>
        </w:rPr>
        <w:t>Laguna de Paz</w:t>
      </w:r>
      <w:r>
        <w:rPr>
          <w:sz w:val="16"/>
          <w:szCs w:val="16"/>
        </w:rPr>
        <w:t xml:space="preserve">, J.C. </w:t>
      </w:r>
      <w:r>
        <w:rPr>
          <w:i/>
          <w:iCs/>
          <w:sz w:val="16"/>
          <w:szCs w:val="16"/>
        </w:rPr>
        <w:t>La autorización administrativa</w:t>
      </w:r>
      <w:r>
        <w:rPr>
          <w:sz w:val="16"/>
          <w:szCs w:val="16"/>
        </w:rPr>
        <w:t>, Civitas, Navarra, 2006, p. 100.</w:t>
      </w:r>
    </w:p>
  </w:footnote>
  <w:footnote w:id="44">
    <w:p w14:paraId="4EBCB6F8" w14:textId="77777777" w:rsidR="00D17B12" w:rsidRDefault="007526ED">
      <w:pPr>
        <w:spacing w:line="240" w:lineRule="auto"/>
        <w:ind w:left="567" w:hanging="567"/>
        <w:jc w:val="both"/>
        <w:rPr>
          <w:sz w:val="20"/>
          <w:szCs w:val="20"/>
        </w:rPr>
      </w:pPr>
      <w:r>
        <w:rPr>
          <w:vertAlign w:val="superscript"/>
        </w:rPr>
        <w:footnoteRef/>
      </w:r>
      <w:r>
        <w:rPr>
          <w:sz w:val="20"/>
          <w:szCs w:val="20"/>
        </w:rPr>
        <w:t xml:space="preserve"> </w:t>
      </w:r>
      <w:r>
        <w:rPr>
          <w:sz w:val="20"/>
          <w:szCs w:val="20"/>
        </w:rPr>
        <w:tab/>
        <w:t xml:space="preserve">UNESCO (2018). </w:t>
      </w:r>
      <w:r>
        <w:rPr>
          <w:i/>
          <w:iCs/>
          <w:sz w:val="20"/>
          <w:szCs w:val="20"/>
        </w:rPr>
        <w:t>Repensar las políticas culturales: creatividad para el desarrollo, Convención 2005: informe mundial</w:t>
      </w:r>
      <w:r>
        <w:rPr>
          <w:sz w:val="20"/>
          <w:szCs w:val="20"/>
        </w:rPr>
        <w:t xml:space="preserve">. </w:t>
      </w:r>
      <w:hyperlink r:id="rId5">
        <w:r>
          <w:rPr>
            <w:color w:val="1155CC"/>
            <w:sz w:val="20"/>
            <w:szCs w:val="20"/>
            <w:u w:val="single"/>
          </w:rPr>
          <w:t>https://unesdoc.unesco.org/ark:/48223/pf0000265419</w:t>
        </w:r>
      </w:hyperlink>
      <w:r>
        <w:rPr>
          <w:sz w:val="20"/>
          <w:szCs w:val="20"/>
        </w:rPr>
        <w:t xml:space="preserve"> </w:t>
      </w:r>
    </w:p>
  </w:footnote>
  <w:footnote w:id="45">
    <w:p w14:paraId="38C41EB6" w14:textId="77777777" w:rsidR="00D17B12" w:rsidRDefault="007526ED">
      <w:pPr>
        <w:spacing w:line="240" w:lineRule="auto"/>
        <w:ind w:left="567" w:hanging="567"/>
        <w:jc w:val="both"/>
        <w:rPr>
          <w:sz w:val="16"/>
          <w:szCs w:val="16"/>
        </w:rPr>
      </w:pPr>
      <w:r>
        <w:rPr>
          <w:vertAlign w:val="superscript"/>
        </w:rPr>
        <w:footnoteRef/>
      </w:r>
      <w:r>
        <w:rPr>
          <w:sz w:val="20"/>
          <w:szCs w:val="20"/>
        </w:rPr>
        <w:t xml:space="preserve"> </w:t>
      </w:r>
      <w:r>
        <w:rPr>
          <w:sz w:val="20"/>
          <w:szCs w:val="20"/>
        </w:rPr>
        <w:tab/>
      </w:r>
      <w:r>
        <w:rPr>
          <w:sz w:val="16"/>
          <w:szCs w:val="16"/>
        </w:rPr>
        <w:t>Publicación preparada por funcionarios del Banco Mundial, el FMI,  la OCDE y la OMC (2022) sobre “</w:t>
      </w:r>
      <w:r>
        <w:rPr>
          <w:i/>
          <w:iCs/>
          <w:sz w:val="16"/>
          <w:szCs w:val="16"/>
        </w:rPr>
        <w:t>Subvenciones, comercio y cooperación internacional</w:t>
      </w:r>
      <w:r>
        <w:rPr>
          <w:sz w:val="16"/>
          <w:szCs w:val="16"/>
        </w:rPr>
        <w:t xml:space="preserve">”. </w:t>
      </w:r>
      <w:hyperlink r:id="rId6">
        <w:r>
          <w:rPr>
            <w:color w:val="1155CC"/>
            <w:sz w:val="16"/>
            <w:szCs w:val="16"/>
            <w:u w:val="single"/>
          </w:rPr>
          <w:t>https://www.wto.org/spanish/res_s/booksp_s/repintcoosub22_s.pdf</w:t>
        </w:r>
      </w:hyperlink>
      <w:r>
        <w:rPr>
          <w:sz w:val="16"/>
          <w:szCs w:val="16"/>
        </w:rPr>
        <w:t xml:space="preserve"> </w:t>
      </w:r>
    </w:p>
  </w:footnote>
  <w:footnote w:id="46">
    <w:p w14:paraId="56DB050E" w14:textId="77777777" w:rsidR="00D17B12" w:rsidRDefault="007526ED">
      <w:pPr>
        <w:spacing w:line="240" w:lineRule="auto"/>
        <w:ind w:left="567" w:hanging="567"/>
        <w:jc w:val="both"/>
        <w:rPr>
          <w:sz w:val="16"/>
          <w:szCs w:val="16"/>
        </w:rPr>
      </w:pPr>
      <w:r>
        <w:rPr>
          <w:vertAlign w:val="superscript"/>
        </w:rPr>
        <w:footnoteRef/>
      </w:r>
      <w:r>
        <w:rPr>
          <w:sz w:val="16"/>
          <w:szCs w:val="16"/>
        </w:rPr>
        <w:t xml:space="preserve"> </w:t>
      </w:r>
      <w:r>
        <w:rPr>
          <w:sz w:val="16"/>
          <w:szCs w:val="16"/>
        </w:rPr>
        <w:tab/>
        <w:t xml:space="preserve">Martínez López-Muñiz, J.L., “La actividad administrativa dispensadora de ayudas y recompensas: una alternativa conceptual al fomento en la teoría de los modos de acción de la Administración Pública”. En: Gómez-Ferrer Morant, Rafael (Coord.), </w:t>
      </w:r>
      <w:r>
        <w:rPr>
          <w:i/>
          <w:iCs/>
          <w:sz w:val="16"/>
          <w:szCs w:val="16"/>
        </w:rPr>
        <w:t>Libro homenaje al profesor José Luis Villar Palasí</w:t>
      </w:r>
      <w:r>
        <w:rPr>
          <w:sz w:val="16"/>
          <w:szCs w:val="16"/>
        </w:rPr>
        <w:t>, Civitas, Madrid, 1989, p. 757.</w:t>
      </w:r>
    </w:p>
  </w:footnote>
  <w:footnote w:id="47">
    <w:p w14:paraId="2B5DDB3B" w14:textId="77777777" w:rsidR="00D17B12" w:rsidRDefault="007526ED">
      <w:pPr>
        <w:spacing w:line="240" w:lineRule="auto"/>
        <w:ind w:left="567" w:hanging="567"/>
        <w:rPr>
          <w:b/>
          <w:bCs/>
          <w:sz w:val="16"/>
          <w:szCs w:val="16"/>
        </w:rPr>
      </w:pPr>
      <w:r>
        <w:rPr>
          <w:vertAlign w:val="superscript"/>
        </w:rPr>
        <w:footnoteRef/>
      </w:r>
      <w:r>
        <w:rPr>
          <w:sz w:val="20"/>
          <w:szCs w:val="20"/>
        </w:rPr>
        <w:t xml:space="preserve"> </w:t>
      </w:r>
      <w:r>
        <w:rPr>
          <w:sz w:val="20"/>
          <w:szCs w:val="20"/>
        </w:rPr>
        <w:tab/>
      </w:r>
      <w:r>
        <w:rPr>
          <w:b/>
          <w:bCs/>
          <w:sz w:val="16"/>
          <w:szCs w:val="16"/>
        </w:rPr>
        <w:t>Artículo 12. Estímulos económicos a las actividades cinematográfica y audiovisual</w:t>
      </w:r>
    </w:p>
    <w:p w14:paraId="4AB0248C" w14:textId="77777777" w:rsidR="00D17B12" w:rsidRDefault="007526ED">
      <w:pPr>
        <w:spacing w:line="240" w:lineRule="auto"/>
        <w:ind w:left="567"/>
        <w:jc w:val="both"/>
        <w:rPr>
          <w:sz w:val="16"/>
          <w:szCs w:val="16"/>
        </w:rPr>
      </w:pPr>
      <w:r>
        <w:rPr>
          <w:sz w:val="16"/>
          <w:szCs w:val="16"/>
        </w:rPr>
        <w:t xml:space="preserve">12.1. El Ministerio de Cultura otorga estímulos económicos a personas naturales de nacionalidad peruana, o domiciliadas en el país, o a personas jurídicas de derecho privado debidamente constituidas en el país, que participan en las obras cinematográficas o audiovisuales peruanas. Los estímulos se conceden con cargo a los recursos de su presupuesto anual institucional, de modo que se asigna para ello </w:t>
      </w:r>
      <w:r>
        <w:rPr>
          <w:b/>
          <w:bCs/>
          <w:sz w:val="16"/>
          <w:szCs w:val="16"/>
          <w:u w:val="single"/>
        </w:rPr>
        <w:t>un mínimo de seis mil unidades impositivas tributarias (6000 UIT</w:t>
      </w:r>
      <w:r>
        <w:rPr>
          <w:b/>
          <w:bCs/>
          <w:sz w:val="16"/>
          <w:szCs w:val="16"/>
        </w:rPr>
        <w:t>),</w:t>
      </w:r>
      <w:r>
        <w:rPr>
          <w:sz w:val="16"/>
          <w:szCs w:val="16"/>
        </w:rPr>
        <w:t xml:space="preserve"> sin demandar recursos adicionales al tesoro público, pudiéndose disponer de hasta 5% de esta asignación para la administración del otorgamiento de estímulos.</w:t>
      </w:r>
    </w:p>
    <w:p w14:paraId="6276FEF3" w14:textId="77777777" w:rsidR="00D17B12" w:rsidRDefault="007526ED">
      <w:pPr>
        <w:spacing w:line="240" w:lineRule="auto"/>
        <w:ind w:left="567"/>
        <w:jc w:val="both"/>
        <w:rPr>
          <w:sz w:val="16"/>
          <w:szCs w:val="16"/>
        </w:rPr>
      </w:pPr>
      <w:r>
        <w:rPr>
          <w:sz w:val="16"/>
          <w:szCs w:val="16"/>
        </w:rPr>
        <w:t>12.2. Los incentivos económicos se otorgan a través de subvenciones aprobadas mediante resolución del titular del Ministerio de Cultura, la cual se publica en su portal institucional. El titular del Ministerio de Cultura puede delegar la aprobación de los estímulos económicos a la Dirección General de Industrias Culturales y Artes o a la que haga sus veces.</w:t>
      </w:r>
    </w:p>
    <w:p w14:paraId="0A1FA64B" w14:textId="77777777" w:rsidR="00D17B12" w:rsidRDefault="007526ED">
      <w:pPr>
        <w:spacing w:line="240" w:lineRule="auto"/>
        <w:ind w:left="567"/>
        <w:jc w:val="both"/>
        <w:rPr>
          <w:sz w:val="20"/>
          <w:szCs w:val="20"/>
        </w:rPr>
      </w:pPr>
      <w:r>
        <w:rPr>
          <w:sz w:val="16"/>
          <w:szCs w:val="16"/>
        </w:rPr>
        <w:t>12.3. El Ministerio de Economía y Finanzas propone para cada ejercicio fiscal los porcentajes máximos de los incentivos económicos, dispuestos en el presente artículo, considerando los fondos presupuestales que se asignan anualmente para este fin.</w:t>
      </w:r>
    </w:p>
  </w:footnote>
  <w:footnote w:id="48">
    <w:p w14:paraId="7B3B41F1" w14:textId="77777777" w:rsidR="00D17B12" w:rsidRDefault="007526ED">
      <w:pPr>
        <w:spacing w:line="240" w:lineRule="auto"/>
        <w:ind w:left="567" w:hanging="567"/>
        <w:jc w:val="both"/>
        <w:rPr>
          <w:sz w:val="18"/>
          <w:szCs w:val="18"/>
        </w:rPr>
      </w:pPr>
      <w:r>
        <w:rPr>
          <w:vertAlign w:val="superscript"/>
        </w:rPr>
        <w:footnoteRef/>
      </w:r>
      <w:r>
        <w:rPr>
          <w:sz w:val="20"/>
          <w:szCs w:val="20"/>
        </w:rPr>
        <w:t xml:space="preserve"> </w:t>
      </w:r>
      <w:r>
        <w:rPr>
          <w:sz w:val="20"/>
          <w:szCs w:val="20"/>
        </w:rPr>
        <w:tab/>
      </w:r>
      <w:r>
        <w:rPr>
          <w:sz w:val="18"/>
          <w:szCs w:val="18"/>
        </w:rPr>
        <w:t>La Colegiación Obligatoria de Periodistas (artículos 13 y 29 Convención Americana sobre Derechos Humanos). Opinión consultiva OC-5/85 del 13 de noviembre de 1985. Serie A, núm.5, párrafo 30.</w:t>
      </w:r>
    </w:p>
  </w:footnote>
  <w:footnote w:id="49">
    <w:p w14:paraId="2B5DAB52" w14:textId="77777777" w:rsidR="00D17B12" w:rsidRDefault="007526ED">
      <w:pPr>
        <w:spacing w:line="240" w:lineRule="auto"/>
        <w:ind w:left="567" w:hanging="567"/>
        <w:rPr>
          <w:b/>
          <w:bCs/>
          <w:sz w:val="18"/>
          <w:szCs w:val="18"/>
        </w:rPr>
      </w:pPr>
      <w:r>
        <w:rPr>
          <w:vertAlign w:val="superscript"/>
        </w:rPr>
        <w:footnoteRef/>
      </w:r>
      <w:r>
        <w:t xml:space="preserve"> </w:t>
      </w:r>
      <w:r>
        <w:rPr>
          <w:sz w:val="20"/>
          <w:szCs w:val="20"/>
        </w:rPr>
        <w:tab/>
      </w:r>
      <w:r>
        <w:rPr>
          <w:b/>
          <w:bCs/>
          <w:sz w:val="18"/>
          <w:szCs w:val="18"/>
        </w:rPr>
        <w:t>Decreto de Urgencia N.° 022-2019</w:t>
      </w:r>
    </w:p>
    <w:p w14:paraId="43822A80" w14:textId="77777777" w:rsidR="00D17B12" w:rsidRDefault="007526ED">
      <w:pPr>
        <w:spacing w:line="240" w:lineRule="auto"/>
        <w:ind w:left="567"/>
        <w:jc w:val="both"/>
        <w:rPr>
          <w:b/>
          <w:bCs/>
          <w:sz w:val="18"/>
          <w:szCs w:val="18"/>
        </w:rPr>
      </w:pPr>
      <w:r>
        <w:rPr>
          <w:b/>
          <w:bCs/>
          <w:sz w:val="18"/>
          <w:szCs w:val="18"/>
        </w:rPr>
        <w:t xml:space="preserve">Artículo 4. Obras cinematográficas y audiovisuales peruanas </w:t>
      </w:r>
    </w:p>
    <w:p w14:paraId="73A555CD" w14:textId="77777777" w:rsidR="00D17B12" w:rsidRDefault="007526ED">
      <w:pPr>
        <w:spacing w:line="240" w:lineRule="auto"/>
        <w:ind w:left="567"/>
        <w:jc w:val="both"/>
        <w:rPr>
          <w:b/>
          <w:bCs/>
          <w:sz w:val="18"/>
          <w:szCs w:val="18"/>
        </w:rPr>
      </w:pPr>
      <w:r>
        <w:rPr>
          <w:b/>
          <w:bCs/>
          <w:sz w:val="18"/>
          <w:szCs w:val="18"/>
        </w:rPr>
        <w:t>(...)</w:t>
      </w:r>
    </w:p>
    <w:p w14:paraId="28D9897E" w14:textId="77777777" w:rsidR="00D17B12" w:rsidRDefault="007526ED">
      <w:pPr>
        <w:pBdr>
          <w:top w:val="nil"/>
          <w:left w:val="nil"/>
          <w:bottom w:val="nil"/>
          <w:right w:val="nil"/>
          <w:between w:val="nil"/>
        </w:pBdr>
        <w:spacing w:line="240" w:lineRule="auto"/>
        <w:ind w:left="567"/>
        <w:rPr>
          <w:color w:val="000000"/>
          <w:sz w:val="20"/>
          <w:szCs w:val="20"/>
        </w:rPr>
      </w:pPr>
      <w:r>
        <w:rPr>
          <w:color w:val="000000"/>
          <w:sz w:val="18"/>
          <w:szCs w:val="18"/>
        </w:rPr>
        <w:t xml:space="preserve">4.5 No pueden beneficiarse de las medidas contenidas en la presente norma, las obras cinematográficas y audiovisuales destinadas a pautas publicitarias, propaganda electoral o en beneficio directo de una organización política.  </w:t>
      </w:r>
    </w:p>
  </w:footnote>
  <w:footnote w:id="50">
    <w:p w14:paraId="3C7C6F88" w14:textId="77777777" w:rsidR="00D17B12" w:rsidRDefault="007526ED">
      <w:pPr>
        <w:spacing w:line="240" w:lineRule="auto"/>
        <w:ind w:left="567" w:hanging="567"/>
        <w:rPr>
          <w:sz w:val="20"/>
          <w:szCs w:val="20"/>
        </w:rPr>
      </w:pPr>
      <w:r>
        <w:rPr>
          <w:vertAlign w:val="superscript"/>
        </w:rPr>
        <w:footnoteRef/>
      </w:r>
      <w:r>
        <w:rPr>
          <w:sz w:val="16"/>
          <w:szCs w:val="16"/>
        </w:rPr>
        <w:t xml:space="preserve"> </w:t>
      </w:r>
      <w:r>
        <w:rPr>
          <w:sz w:val="16"/>
          <w:szCs w:val="16"/>
        </w:rPr>
        <w:tab/>
        <w:t xml:space="preserve">UNESCO (2018). Repensar las políticas culturales: creatividad para el desarrollo, Convención 2005: informe mundial. </w:t>
      </w:r>
      <w:hyperlink r:id="rId7">
        <w:r>
          <w:rPr>
            <w:sz w:val="16"/>
            <w:szCs w:val="16"/>
          </w:rPr>
          <w:t>https://unesdoc.unesco.org/ark:/48223/pf0000265419</w:t>
        </w:r>
      </w:hyperlink>
      <w:r>
        <w:rPr>
          <w:sz w:val="20"/>
          <w:szCs w:val="20"/>
        </w:rPr>
        <w:t xml:space="preserve">, </w:t>
      </w:r>
      <w:r>
        <w:rPr>
          <w:sz w:val="16"/>
          <w:szCs w:val="16"/>
        </w:rPr>
        <w:t>p. 44.</w:t>
      </w:r>
    </w:p>
  </w:footnote>
  <w:footnote w:id="51">
    <w:p w14:paraId="0CCF7632" w14:textId="77777777" w:rsidR="00D17B12" w:rsidRDefault="007526ED">
      <w:pPr>
        <w:spacing w:line="240" w:lineRule="auto"/>
        <w:ind w:left="567" w:hanging="567"/>
        <w:rPr>
          <w:sz w:val="20"/>
          <w:szCs w:val="20"/>
        </w:rPr>
      </w:pPr>
      <w:r>
        <w:rPr>
          <w:vertAlign w:val="superscript"/>
        </w:rPr>
        <w:footnoteRef/>
      </w:r>
      <w:r>
        <w:rPr>
          <w:sz w:val="20"/>
          <w:szCs w:val="20"/>
        </w:rPr>
        <w:t xml:space="preserve"> </w:t>
      </w:r>
      <w:r>
        <w:rPr>
          <w:sz w:val="20"/>
          <w:szCs w:val="20"/>
        </w:rPr>
        <w:tab/>
        <w:t xml:space="preserve">Sobre la CAACI: </w:t>
      </w:r>
      <w:hyperlink r:id="rId8">
        <w:r>
          <w:rPr>
            <w:color w:val="1155CC"/>
            <w:sz w:val="20"/>
            <w:szCs w:val="20"/>
            <w:u w:val="single"/>
          </w:rPr>
          <w:t>https://caaci-iberoamerica.org/</w:t>
        </w:r>
      </w:hyperlink>
      <w:r>
        <w:rPr>
          <w:sz w:val="20"/>
          <w:szCs w:val="20"/>
        </w:rPr>
        <w:t xml:space="preserve"> </w:t>
      </w:r>
    </w:p>
  </w:footnote>
  <w:footnote w:id="52">
    <w:p w14:paraId="0DF62213" w14:textId="77777777" w:rsidR="00D17B12" w:rsidRDefault="007526ED">
      <w:pPr>
        <w:spacing w:line="240" w:lineRule="auto"/>
        <w:ind w:left="567" w:hanging="567"/>
        <w:rPr>
          <w:sz w:val="20"/>
          <w:szCs w:val="20"/>
        </w:rPr>
      </w:pPr>
      <w:r>
        <w:rPr>
          <w:vertAlign w:val="superscript"/>
        </w:rPr>
        <w:footnoteRef/>
      </w:r>
      <w:r>
        <w:rPr>
          <w:sz w:val="20"/>
          <w:szCs w:val="20"/>
        </w:rPr>
        <w:t xml:space="preserve"> </w:t>
      </w:r>
      <w:r>
        <w:rPr>
          <w:sz w:val="20"/>
          <w:szCs w:val="20"/>
        </w:rPr>
        <w:tab/>
      </w:r>
      <w:hyperlink r:id="rId9">
        <w:r>
          <w:rPr>
            <w:color w:val="0000FF"/>
            <w:sz w:val="20"/>
            <w:szCs w:val="20"/>
            <w:u w:val="single"/>
          </w:rPr>
          <w:t>https://www.gob.pe/institucion/cultura/noticias/520684-ministerio-de-cultura-del-peru-gana-el-reconocimiento-a-los-aportes-de-gestion-audiovisual-otorgado-por-la-caaci</w:t>
        </w:r>
      </w:hyperlink>
      <w:r>
        <w:rPr>
          <w:sz w:val="20"/>
          <w:szCs w:val="20"/>
        </w:rPr>
        <w:t xml:space="preserve"> </w:t>
      </w:r>
    </w:p>
  </w:footnote>
  <w:footnote w:id="53">
    <w:p w14:paraId="3685F870" w14:textId="77777777" w:rsidR="00D17B12" w:rsidRDefault="007526ED">
      <w:pPr>
        <w:spacing w:line="240" w:lineRule="auto"/>
        <w:ind w:left="567" w:hanging="567"/>
        <w:jc w:val="both"/>
        <w:rPr>
          <w:sz w:val="16"/>
          <w:szCs w:val="16"/>
        </w:rPr>
      </w:pPr>
      <w:r>
        <w:rPr>
          <w:vertAlign w:val="superscript"/>
        </w:rPr>
        <w:footnoteRef/>
      </w:r>
      <w:r>
        <w:tab/>
      </w:r>
      <w:r>
        <w:rPr>
          <w:sz w:val="20"/>
          <w:szCs w:val="20"/>
        </w:rPr>
        <w:t xml:space="preserve"> </w:t>
      </w:r>
      <w:r>
        <w:rPr>
          <w:b/>
          <w:bCs/>
          <w:sz w:val="16"/>
          <w:szCs w:val="16"/>
        </w:rPr>
        <w:t>Artículo II del Título Preliminar:</w:t>
      </w:r>
      <w:r>
        <w:rPr>
          <w:sz w:val="16"/>
          <w:szCs w:val="16"/>
        </w:rPr>
        <w:t xml:space="preserve"> </w:t>
      </w:r>
    </w:p>
    <w:p w14:paraId="4C98A9BE" w14:textId="77777777" w:rsidR="00D17B12" w:rsidRDefault="007526ED">
      <w:pPr>
        <w:numPr>
          <w:ilvl w:val="0"/>
          <w:numId w:val="1"/>
        </w:numPr>
        <w:spacing w:line="240" w:lineRule="auto"/>
        <w:ind w:left="567" w:hanging="567"/>
        <w:jc w:val="both"/>
        <w:rPr>
          <w:sz w:val="16"/>
          <w:szCs w:val="16"/>
        </w:rPr>
      </w:pPr>
      <w:r>
        <w:rPr>
          <w:sz w:val="16"/>
          <w:szCs w:val="16"/>
        </w:rPr>
        <w:t>La presente Ley contiene normas comunes para las actuaciones de la función administrativa del Estado y regula todos los procedimientos administrativos desarrollados en las entidades, incluyendo los procedimientos especiales.</w:t>
      </w:r>
    </w:p>
    <w:p w14:paraId="17B4BBB0" w14:textId="77777777" w:rsidR="00D17B12" w:rsidRDefault="007526ED">
      <w:pPr>
        <w:numPr>
          <w:ilvl w:val="0"/>
          <w:numId w:val="1"/>
        </w:numPr>
        <w:spacing w:line="240" w:lineRule="auto"/>
        <w:ind w:left="567" w:hanging="567"/>
        <w:jc w:val="both"/>
        <w:rPr>
          <w:sz w:val="16"/>
          <w:szCs w:val="16"/>
        </w:rPr>
      </w:pPr>
      <w:r>
        <w:rPr>
          <w:sz w:val="16"/>
          <w:szCs w:val="16"/>
        </w:rPr>
        <w:t>Las leyes que crean y regulan los procedimientos especiales no podrán imponer condiciones menos favorables a los administrados que las previstas en la presente Ley”</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338B2"/>
    <w:multiLevelType w:val="multilevel"/>
    <w:tmpl w:val="62084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2C6ED1"/>
    <w:multiLevelType w:val="multilevel"/>
    <w:tmpl w:val="416C4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706A92"/>
    <w:multiLevelType w:val="multilevel"/>
    <w:tmpl w:val="555E70A4"/>
    <w:lvl w:ilvl="0">
      <w:start w:val="1"/>
      <w:numFmt w:val="lowerLetter"/>
      <w:lvlText w:val="%1)"/>
      <w:lvlJc w:val="left"/>
      <w:pPr>
        <w:ind w:left="72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F6C6E22"/>
    <w:multiLevelType w:val="multilevel"/>
    <w:tmpl w:val="B4E07380"/>
    <w:lvl w:ilvl="0">
      <w:start w:val="1"/>
      <w:numFmt w:val="lowerLetter"/>
      <w:lvlText w:val="%1)"/>
      <w:lvlJc w:val="left"/>
      <w:pPr>
        <w:ind w:left="72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381409ED"/>
    <w:multiLevelType w:val="multilevel"/>
    <w:tmpl w:val="D938FAC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3A2E25E9"/>
    <w:multiLevelType w:val="multilevel"/>
    <w:tmpl w:val="1E400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EB516A"/>
    <w:multiLevelType w:val="multilevel"/>
    <w:tmpl w:val="47282A66"/>
    <w:lvl w:ilvl="0">
      <w:start w:val="1"/>
      <w:numFmt w:val="upperRoman"/>
      <w:lvlText w:val="%1."/>
      <w:lvlJc w:val="left"/>
      <w:pPr>
        <w:ind w:left="720" w:hanging="360"/>
      </w:pPr>
      <w:rPr>
        <w:u w:val="none"/>
      </w:rPr>
    </w:lvl>
    <w:lvl w:ilvl="1">
      <w:start w:val="1"/>
      <w:numFmt w:val="decimal"/>
      <w:lvlText w:val="%1.%2."/>
      <w:lvlJc w:val="left"/>
      <w:pPr>
        <w:ind w:left="750" w:hanging="39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2160" w:hanging="1800"/>
      </w:pPr>
      <w:rPr>
        <w:u w:val="none"/>
      </w:rPr>
    </w:lvl>
  </w:abstractNum>
  <w:abstractNum w:abstractNumId="7" w15:restartNumberingAfterBreak="0">
    <w:nsid w:val="45261344"/>
    <w:multiLevelType w:val="multilevel"/>
    <w:tmpl w:val="B7166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D54146"/>
    <w:multiLevelType w:val="multilevel"/>
    <w:tmpl w:val="AB182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2B1BFF"/>
    <w:multiLevelType w:val="multilevel"/>
    <w:tmpl w:val="56D8F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233D51"/>
    <w:multiLevelType w:val="multilevel"/>
    <w:tmpl w:val="2E0AC090"/>
    <w:lvl w:ilvl="0">
      <w:start w:val="1"/>
      <w:numFmt w:val="decimal"/>
      <w:lvlText w:val="%1."/>
      <w:lvlJc w:val="left"/>
      <w:pPr>
        <w:ind w:left="4689" w:hanging="360"/>
      </w:pPr>
      <w:rPr>
        <w:u w:val="none"/>
      </w:rPr>
    </w:lvl>
    <w:lvl w:ilvl="1">
      <w:start w:val="1"/>
      <w:numFmt w:val="lowerLetter"/>
      <w:lvlText w:val="%2."/>
      <w:lvlJc w:val="left"/>
      <w:pPr>
        <w:ind w:left="5409" w:hanging="360"/>
      </w:pPr>
      <w:rPr>
        <w:u w:val="none"/>
      </w:rPr>
    </w:lvl>
    <w:lvl w:ilvl="2">
      <w:start w:val="1"/>
      <w:numFmt w:val="lowerRoman"/>
      <w:lvlText w:val="%3."/>
      <w:lvlJc w:val="right"/>
      <w:pPr>
        <w:ind w:left="6129" w:hanging="360"/>
      </w:pPr>
      <w:rPr>
        <w:u w:val="none"/>
      </w:rPr>
    </w:lvl>
    <w:lvl w:ilvl="3">
      <w:start w:val="1"/>
      <w:numFmt w:val="decimal"/>
      <w:lvlText w:val="%4."/>
      <w:lvlJc w:val="left"/>
      <w:pPr>
        <w:ind w:left="6849" w:hanging="360"/>
      </w:pPr>
      <w:rPr>
        <w:u w:val="none"/>
      </w:rPr>
    </w:lvl>
    <w:lvl w:ilvl="4">
      <w:start w:val="1"/>
      <w:numFmt w:val="lowerLetter"/>
      <w:lvlText w:val="%5."/>
      <w:lvlJc w:val="left"/>
      <w:pPr>
        <w:ind w:left="7569" w:hanging="360"/>
      </w:pPr>
      <w:rPr>
        <w:u w:val="none"/>
      </w:rPr>
    </w:lvl>
    <w:lvl w:ilvl="5">
      <w:start w:val="1"/>
      <w:numFmt w:val="lowerRoman"/>
      <w:lvlText w:val="%6."/>
      <w:lvlJc w:val="right"/>
      <w:pPr>
        <w:ind w:left="8289" w:hanging="360"/>
      </w:pPr>
      <w:rPr>
        <w:u w:val="none"/>
      </w:rPr>
    </w:lvl>
    <w:lvl w:ilvl="6">
      <w:start w:val="1"/>
      <w:numFmt w:val="decimal"/>
      <w:lvlText w:val="%7."/>
      <w:lvlJc w:val="left"/>
      <w:pPr>
        <w:ind w:left="9009" w:hanging="360"/>
      </w:pPr>
      <w:rPr>
        <w:u w:val="none"/>
      </w:rPr>
    </w:lvl>
    <w:lvl w:ilvl="7">
      <w:start w:val="1"/>
      <w:numFmt w:val="lowerLetter"/>
      <w:lvlText w:val="%8."/>
      <w:lvlJc w:val="left"/>
      <w:pPr>
        <w:ind w:left="9729" w:hanging="360"/>
      </w:pPr>
      <w:rPr>
        <w:u w:val="none"/>
      </w:rPr>
    </w:lvl>
    <w:lvl w:ilvl="8">
      <w:start w:val="1"/>
      <w:numFmt w:val="lowerRoman"/>
      <w:lvlText w:val="%9."/>
      <w:lvlJc w:val="right"/>
      <w:pPr>
        <w:ind w:left="10449" w:hanging="360"/>
      </w:pPr>
      <w:rPr>
        <w:u w:val="none"/>
      </w:rPr>
    </w:lvl>
  </w:abstractNum>
  <w:abstractNum w:abstractNumId="11" w15:restartNumberingAfterBreak="0">
    <w:nsid w:val="643B64E1"/>
    <w:multiLevelType w:val="multilevel"/>
    <w:tmpl w:val="CDACCCC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672E1976"/>
    <w:multiLevelType w:val="multilevel"/>
    <w:tmpl w:val="CD8895A8"/>
    <w:lvl w:ilvl="0">
      <w:start w:val="1"/>
      <w:numFmt w:val="lowerLetter"/>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 w15:restartNumberingAfterBreak="0">
    <w:nsid w:val="7995283C"/>
    <w:multiLevelType w:val="multilevel"/>
    <w:tmpl w:val="872E69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7A5F60D9"/>
    <w:multiLevelType w:val="multilevel"/>
    <w:tmpl w:val="86526D24"/>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AB3025D"/>
    <w:multiLevelType w:val="multilevel"/>
    <w:tmpl w:val="A0267D78"/>
    <w:lvl w:ilvl="0">
      <w:start w:val="1"/>
      <w:numFmt w:val="low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E6E107C"/>
    <w:multiLevelType w:val="multilevel"/>
    <w:tmpl w:val="29B0B3C2"/>
    <w:lvl w:ilvl="0">
      <w:start w:val="5"/>
      <w:numFmt w:val="decimal"/>
      <w:lvlText w:val="%1."/>
      <w:lvlJc w:val="left"/>
      <w:pPr>
        <w:ind w:left="360" w:hanging="360"/>
      </w:pPr>
      <w:rPr>
        <w:u w:val="none"/>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080" w:hanging="1080"/>
      </w:pPr>
      <w:rPr>
        <w:u w:val="none"/>
      </w:rPr>
    </w:lvl>
    <w:lvl w:ilvl="5">
      <w:start w:val="1"/>
      <w:numFmt w:val="decimal"/>
      <w:lvlText w:val="%1.%2.%3.%4.%5.%6."/>
      <w:lvlJc w:val="left"/>
      <w:pPr>
        <w:ind w:left="1440" w:hanging="144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800" w:hanging="1800"/>
      </w:pPr>
      <w:rPr>
        <w:u w:val="none"/>
      </w:rPr>
    </w:lvl>
    <w:lvl w:ilvl="8">
      <w:start w:val="1"/>
      <w:numFmt w:val="decimal"/>
      <w:lvlText w:val="%1.%2.%3.%4.%5.%6.%7.%8.%9."/>
      <w:lvlJc w:val="left"/>
      <w:pPr>
        <w:ind w:left="1800" w:hanging="1800"/>
      </w:pPr>
      <w:rPr>
        <w:u w:val="none"/>
      </w:rPr>
    </w:lvl>
  </w:abstractNum>
  <w:num w:numId="1" w16cid:durableId="964894655">
    <w:abstractNumId w:val="10"/>
  </w:num>
  <w:num w:numId="2" w16cid:durableId="1443917527">
    <w:abstractNumId w:val="13"/>
  </w:num>
  <w:num w:numId="3" w16cid:durableId="1414669053">
    <w:abstractNumId w:val="2"/>
  </w:num>
  <w:num w:numId="4" w16cid:durableId="1389723571">
    <w:abstractNumId w:val="9"/>
  </w:num>
  <w:num w:numId="5" w16cid:durableId="1970283515">
    <w:abstractNumId w:val="6"/>
  </w:num>
  <w:num w:numId="6" w16cid:durableId="1656299406">
    <w:abstractNumId w:val="12"/>
  </w:num>
  <w:num w:numId="7" w16cid:durableId="796921585">
    <w:abstractNumId w:val="14"/>
  </w:num>
  <w:num w:numId="8" w16cid:durableId="119342958">
    <w:abstractNumId w:val="7"/>
  </w:num>
  <w:num w:numId="9" w16cid:durableId="1015962926">
    <w:abstractNumId w:val="0"/>
  </w:num>
  <w:num w:numId="10" w16cid:durableId="914708193">
    <w:abstractNumId w:val="1"/>
  </w:num>
  <w:num w:numId="11" w16cid:durableId="292562238">
    <w:abstractNumId w:val="4"/>
  </w:num>
  <w:num w:numId="12" w16cid:durableId="1326132034">
    <w:abstractNumId w:val="8"/>
  </w:num>
  <w:num w:numId="13" w16cid:durableId="1993288061">
    <w:abstractNumId w:val="3"/>
  </w:num>
  <w:num w:numId="14" w16cid:durableId="1660575047">
    <w:abstractNumId w:val="5"/>
  </w:num>
  <w:num w:numId="15" w16cid:durableId="2016107774">
    <w:abstractNumId w:val="15"/>
  </w:num>
  <w:num w:numId="16" w16cid:durableId="1744065892">
    <w:abstractNumId w:val="16"/>
  </w:num>
  <w:num w:numId="17" w16cid:durableId="7208590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B12"/>
    <w:rsid w:val="0030079A"/>
    <w:rsid w:val="006E0463"/>
    <w:rsid w:val="007526ED"/>
    <w:rsid w:val="00790520"/>
    <w:rsid w:val="007A373D"/>
    <w:rsid w:val="0082452C"/>
    <w:rsid w:val="00B715E1"/>
    <w:rsid w:val="00C91D27"/>
    <w:rsid w:val="00CC20BC"/>
    <w:rsid w:val="00D17B12"/>
    <w:rsid w:val="00D97976"/>
    <w:rsid w:val="00F37EE4"/>
    <w:rsid w:val="00F770D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47543"/>
  <w15:docId w15:val="{CFA7BC22-339E-4176-90BF-58A269925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PE"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caaci-iberoamerica.org/" TargetMode="External"/><Relationship Id="rId3" Type="http://schemas.openxmlformats.org/officeDocument/2006/relationships/hyperlink" Target="https://www.unesco.org/creativity/sites/default/files/medias/fichiers/2023/01/brochure-" TargetMode="External"/><Relationship Id="rId7" Type="http://schemas.openxmlformats.org/officeDocument/2006/relationships/hyperlink" Target="https://unesdoc.unesco.org/ark:/48223/pf0000265419" TargetMode="External"/><Relationship Id="rId2" Type="http://schemas.openxmlformats.org/officeDocument/2006/relationships/hyperlink" Target="https://institutoautor.org/america-latina-egeda-y-fipca-publican-un-informe-sobre-el-panorama-audiovisual-iberoamericano/" TargetMode="External"/><Relationship Id="rId1" Type="http://schemas.openxmlformats.org/officeDocument/2006/relationships/hyperlink" Target="https://institutoautor.org/america-latina-egeda-y-fipca-publican-un-informe-sobre-el-panorama-audiovisual-iberoamericano/" TargetMode="External"/><Relationship Id="rId6" Type="http://schemas.openxmlformats.org/officeDocument/2006/relationships/hyperlink" Target="https://www.wto.org/spanish/res_s/booksp_s/repintcoosub22_s.pdf" TargetMode="External"/><Relationship Id="rId5" Type="http://schemas.openxmlformats.org/officeDocument/2006/relationships/hyperlink" Target="https://unesdoc.unesco.org/ark:/48223/pf0000265419" TargetMode="External"/><Relationship Id="rId4" Type="http://schemas.openxmlformats.org/officeDocument/2006/relationships/hyperlink" Target="https://institutoautor.org/america-latina-egeda-y-fipca-publican-un-informe-sobre-el-panorama-audiovisual-iberoamericano/" TargetMode="External"/><Relationship Id="rId9" Type="http://schemas.openxmlformats.org/officeDocument/2006/relationships/hyperlink" Target="https://www.gob.pe/institucion/cultura/noticias/520684-ministerio-de-cultura-del-peru-gana-el-reconocimiento-a-los-aportes-de-gestion-audiovisual-otorgado-por-la-caac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21894</Words>
  <Characters>120422</Characters>
  <Application>Microsoft Office Word</Application>
  <DocSecurity>0</DocSecurity>
  <Lines>1003</Lines>
  <Paragraphs>284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Giulliana Elizabeth Ramirez Linan</dc:creator>
  <cp:lastModifiedBy>Servicio Tercero - 542</cp:lastModifiedBy>
  <cp:revision>2</cp:revision>
  <dcterms:created xsi:type="dcterms:W3CDTF">2025-12-05T18:41:00Z</dcterms:created>
  <dcterms:modified xsi:type="dcterms:W3CDTF">2025-12-05T18:41:00Z</dcterms:modified>
</cp:coreProperties>
</file>